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 w:before="0" w:after="0"/>
        <w:jc w:val="left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</w:r>
    </w:p>
    <w:p>
      <w:pPr>
        <w:spacing w:line="240" w:lineRule="auto" w:before="0" w:after="0"/>
        <w:jc w:val="left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</w:r>
    </w:p>
    <w:p>
      <w:pPr>
        <w:spacing w:line="240" w:lineRule="auto" w:before="0" w:after="0"/>
        <w:jc w:val="left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</w:r>
    </w:p>
    <w:p>
      <w:pPr>
        <w:spacing w:line="240" w:lineRule="auto" w:before="0" w:after="0"/>
        <w:jc w:val="left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</w:r>
    </w:p>
    <w:p>
      <w:pPr>
        <w:spacing w:line="240" w:lineRule="auto" w:before="0" w:after="0"/>
        <w:jc w:val="left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</w:r>
    </w:p>
    <w:p>
      <w:pPr>
        <w:spacing w:line="240" w:lineRule="auto" w:before="0" w:after="0"/>
        <w:jc w:val="left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</w:r>
    </w:p>
    <w:p>
      <w:pPr>
        <w:spacing w:line="240" w:lineRule="auto" w:before="480" w:after="200"/>
        <w:jc w:val="center"/>
        <w:ind w:firstLineChars="0" w:firstLine="0"/>
      </w:pPr>
      <w:r>
        <w:rPr>
          <w:rFonts w:ascii="Arial" w:hAnsi="Arial" w:eastAsia="黑体"/>
          <w:b/>
          <w:i w:val="0"/>
          <w:color w:val="000000"/>
          <w:sz w:val="52"/>
        </w:rPr>
        <w:t>Smart Site V7 操作手册</w:t>
      </w:r>
    </w:p>
    <w:p>
      <w:pPr>
        <w:spacing w:line="240" w:lineRule="auto" w:before="0" w:after="360"/>
        <w:jc w:val="center"/>
        <w:ind w:firstLineChars="0" w:firstLine="0"/>
      </w:pPr>
      <w:r>
        <w:rPr>
          <w:rFonts w:ascii="Arial" w:hAnsi="Arial" w:eastAsia="楷体"/>
          <w:b w:val="0"/>
          <w:i w:val="0"/>
          <w:color w:val="000000"/>
          <w:sz w:val="28"/>
        </w:rPr>
        <w:t>OPERATION MANUAL · 详细版 v3.0</w:t>
      </w:r>
    </w:p>
    <w:p>
      <w:pPr>
        <w:spacing w:line="240" w:lineRule="auto" w:before="0" w:after="80"/>
        <w:jc w:val="center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8"/>
        </w:rPr>
        <w:t>工业物联网智慧数据管理平台</w:t>
      </w:r>
    </w:p>
    <w:p>
      <w:pPr>
        <w:spacing w:line="240" w:lineRule="auto" w:before="0" w:after="480"/>
        <w:jc w:val="center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数据中台 Smart Data × 组态可视化 Smart SCADA</w:t>
      </w:r>
    </w:p>
    <w:p>
      <w:pPr>
        <w:spacing w:line="240" w:lineRule="auto" w:before="0" w:after="80"/>
        <w:jc w:val="center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版本：V7 · 2026-09-16</w:t>
      </w:r>
    </w:p>
    <w:p>
      <w:pPr>
        <w:spacing w:line="240" w:lineRule="auto" w:before="0" w:after="0"/>
        <w:jc w:val="center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1"/>
        </w:rPr>
        <w:t>依据功能列表（ss-data 223 项 / ss-scada 295 项）全面细化</w:t>
      </w:r>
    </w:p>
    <w:p>
      <w:pPr>
        <w:sectPr>
          <w:pgSz w:w="11906" w:h="16838"/>
          <w:pgMar w:top="1417" w:right="1417" w:bottom="1417" w:left="1417" w:header="720" w:footer="720" w:gutter="0"/>
          <w:cols w:space="720"/>
          <w:docGrid w:linePitch="360"/>
        </w:sectPr>
      </w:pPr>
    </w:p>
    <w:p>
      <w:pPr>
        <w:spacing w:line="240" w:lineRule="auto" w:before="0" w:after="240"/>
        <w:jc w:val="center"/>
        <w:ind w:firstLineChars="0" w:firstLine="0"/>
      </w:pPr>
      <w:r>
        <w:rPr>
          <w:rFonts w:ascii="Arial" w:hAnsi="Arial" w:eastAsia="黑体"/>
          <w:b/>
          <w:i w:val="0"/>
          <w:color w:val="000000"/>
          <w:sz w:val="32"/>
        </w:rPr>
        <w:t>目  录</w:t>
      </w:r>
    </w:p>
    <w:p>
      <w:pPr>
        <w:ind w:firstLineChars="0" w:firstLine="0"/>
      </w:pPr>
      <w:r>
        <w:fldChar w:fldCharType="begin" w:dirty="true"/>
      </w:r>
      <w:r>
        <w:instrText xml:space="preserve"> TOC \o "1-2" \h \z \u </w:instrText>
      </w:r>
      <w:r>
        <w:fldChar w:fldCharType="separate"/>
      </w:r>
      <w:r>
        <w:rPr>
          <w:rFonts w:ascii="Arial" w:hAnsi="Arial" w:eastAsia="宋体"/>
          <w:b w:val="0"/>
          <w:i w:val="0"/>
          <w:color w:val="808080"/>
          <w:sz w:val="24"/>
        </w:rPr>
        <w:t>右键点击此处选择“更新域”生成目录</w:t>
      </w:r>
      <w:r>
        <w:fldChar w:fldCharType="end"/>
      </w:r>
    </w:p>
    <w:p>
      <w:pPr>
        <w:sectPr>
          <w:pgSz w:w="11906" w:h="16838"/>
          <w:pgMar w:top="1417" w:right="1417" w:bottom="1417" w:left="1417" w:header="720" w:footer="720" w:gutter="0"/>
          <w:cols w:space="720"/>
          <w:docGrid w:linePitch="360"/>
        </w:sectPr>
      </w:pPr>
    </w:p>
    <w:p>
      <w:pPr>
        <w:pStyle w:val="Heading1"/>
        <w:spacing w:before="280" w:after="120" w:line="240" w:lineRule="auto"/>
        <w:ind w:firstLineChars="0" w:firstLine="0"/>
      </w:pPr>
      <w:r>
        <w:rPr>
          <w:rFonts w:ascii="Arial" w:hAnsi="Arial" w:eastAsia="黑体"/>
          <w:b/>
          <w:i w:val="0"/>
          <w:color w:val="000000"/>
          <w:sz w:val="32"/>
        </w:rPr>
        <w:t>1. 产品概述</w:t>
      </w:r>
    </w:p>
    <w:p>
      <w:pPr>
        <w:spacing w:line="360" w:lineRule="auto" w:before="0" w:after="0"/>
        <w:ind w:firstLine="480"/>
        <w:jc w:val="both"/>
      </w:pPr>
      <w:r>
        <w:rPr>
          <w:rFonts w:ascii="Arial" w:hAnsi="Arial" w:eastAsia="宋体"/>
          <w:b w:val="0"/>
          <w:i w:val="0"/>
          <w:color w:val="000000"/>
          <w:sz w:val="24"/>
        </w:rPr>
        <w:t>Smart Site V7 是一套工业物联网智慧数据管理平台，包含两大引擎：</w:t>
      </w:r>
    </w:p>
    <w:p>
      <w:pPr>
        <w:pStyle w:val="ListBullet"/>
        <w:spacing w:line="312" w:lineRule="auto" w:after="40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Smart Data 数据中台：项目管理、权限体系、设备管理、工业协议采集、设备模板与数据标签、报警（事件中心）、脚本、报表、趋势图、知识库、系统运维。</w:t>
      </w:r>
    </w:p>
    <w:p>
      <w:pPr>
        <w:pStyle w:val="ListBullet"/>
        <w:spacing w:line="312" w:lineRule="auto" w:after="40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Smart SCADA 组态可视化：拖拽式工业监控画面编辑（设计态）与实时运行（运行态），内置 160+ 行业图元插件，支持 5 种渲染后端。</w:t>
      </w:r>
    </w:p>
    <w:p>
      <w:pPr>
        <w:spacing w:line="360" w:lineRule="auto" w:before="0" w:after="0"/>
        <w:ind w:firstLine="480"/>
        <w:jc w:val="both"/>
      </w:pPr>
      <w:r>
        <w:rPr>
          <w:rFonts w:ascii="Arial" w:hAnsi="Arial" w:eastAsia="宋体"/>
          <w:b w:val="0"/>
          <w:i w:val="0"/>
          <w:color w:val="000000"/>
          <w:sz w:val="24"/>
        </w:rPr>
        <w:t>平台提供 Web 端、桌面客户端（Electron / Tauri）多端能力，内置 AI 原生智能助手与 MCP 工具接入，支持信创国产化环境。核心能力全景如下表所示。</w:t>
      </w:r>
    </w:p>
    <w:p>
      <w:pPr>
        <w:spacing w:line="240" w:lineRule="auto" w:before="120" w:after="80"/>
        <w:jc w:val="center"/>
        <w:ind w:firstLineChars="0" w:firstLine="0"/>
      </w:pPr>
      <w:r>
        <w:rPr>
          <w:rFonts w:ascii="Arial" w:hAnsi="Arial" w:eastAsia="宋体"/>
          <w:b/>
          <w:i w:val="0"/>
          <w:color w:val="000000"/>
          <w:sz w:val="21"/>
        </w:rPr>
        <w:t>表 1-1 核心能力全景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8" w:color="808080"/>
          <w:left w:val="single" w:sz="8" w:color="808080"/>
          <w:bottom w:val="single" w:sz="8" w:color="808080"/>
          <w:right w:val="single" w:sz="8" w:color="808080"/>
          <w:insideH w:val="single" w:sz="4" w:color="808080"/>
          <w:insideV w:val="single" w:sz="4" w:color="808080"/>
        </w:tblBorders>
      </w:tblPr>
      <w:tblGrid>
        <w:gridCol w:w="4536"/>
        <w:gridCol w:w="4536"/>
      </w:tblGrid>
      <w:tr>
        <w:trPr>
          <w:cantSplit/>
          <w:tblHeader/>
        </w:trPr>
        <w:tc>
          <w:tcPr>
            <w:tcW w:type="dxa" w:w="4536"/>
            <w:vAlign w:val="center"/>
            <w:shd w:val="clear" w:color="auto" w:fill="D9D9D9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/>
                <w:i w:val="0"/>
                <w:color w:val="000000"/>
                <w:sz w:val="21"/>
              </w:rPr>
              <w:t>能力域</w:t>
            </w:r>
          </w:p>
        </w:tc>
        <w:tc>
          <w:tcPr>
            <w:tcW w:type="dxa" w:w="4536"/>
            <w:vAlign w:val="center"/>
            <w:shd w:val="clear" w:color="auto" w:fill="D9D9D9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/>
                <w:i w:val="0"/>
                <w:color w:val="000000"/>
                <w:sz w:val="21"/>
              </w:rPr>
              <w:t>说明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项目级隔离</w:t>
            </w:r>
          </w:p>
        </w:tc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每个项目拥有独立数据库（SQLite）与实时数据库（InfluxDB Bucket），数据、画面、设备完全隔离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权限体系（RBAC）</w:t>
            </w:r>
          </w:p>
        </w:tc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三级角色 + 菜单权限 + 按钮权限（50+ 权限码）+ 数据权限（项目→分组→设备）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多协议采集</w:t>
            </w:r>
          </w:p>
        </w:tc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Modbus TCP/RTU、OPC UA、MQTT、Siemens S7、虚拟仿真等，插件化热插拔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组态可视化</w:t>
            </w:r>
          </w:p>
        </w:tc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160+ 图元插件（工业 16 / 仪表 8 / 电力 27 / 矿产 57 / 3D / 图表 / 装饰等），5 种渲染后端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实时数据链路</w:t>
            </w:r>
          </w:p>
        </w:tc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采集 → 转换 → 死区 → 质量 → 报警 → 缓存 → 持久化 → WebSocket 推送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历史数据存储</w:t>
            </w:r>
          </w:p>
        </w:tc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InfluxDB 时序库（按项目 Bucket）+ SQLite 实时缓存 + 数据归档清理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脚本引擎</w:t>
            </w:r>
          </w:p>
        </w:tc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服务端沙箱（isolated-vm）+ 前端沙箱 + 表达式引擎 + AI 脚本生成（MCP）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AI 原生</w:t>
            </w:r>
          </w:p>
        </w:tc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AI 助手、脚本生成、MCP 工具接入、知识库问答</w:t>
            </w:r>
          </w:p>
        </w:tc>
      </w:tr>
    </w:tbl>
    <w:p>
      <w:pPr>
        <w:spacing w:after="80" w:line="240" w:lineRule="auto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12"/>
        </w:rPr>
      </w:r>
    </w:p>
    <w:p>
      <w:pPr>
        <w:spacing w:line="240" w:lineRule="auto" w:before="80" w:after="0"/>
        <w:jc w:val="left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核心入口：浏览器访问数据中台（项目管理、设备、采集、事件、脚本、报表）与组态编辑器（画面制作），统一 JWT 鉴权。</w:t>
      </w:r>
    </w:p>
    <w:p>
      <w:pPr>
        <w:pStyle w:val="Heading1"/>
        <w:spacing w:before="280" w:after="120" w:line="240" w:lineRule="auto"/>
        <w:ind w:firstLineChars="0" w:firstLine="0"/>
      </w:pPr>
      <w:r>
        <w:rPr>
          <w:rFonts w:ascii="Arial" w:hAnsi="Arial" w:eastAsia="黑体"/>
          <w:b/>
          <w:i w:val="0"/>
          <w:color w:val="000000"/>
          <w:sz w:val="32"/>
        </w:rPr>
        <w:t>2. 系统访问与登录</w:t>
      </w:r>
    </w:p>
    <w:p>
      <w:pPr>
        <w:pStyle w:val="Heading2"/>
        <w:spacing w:before="220" w:after="100" w:line="240" w:lineRule="auto"/>
        <w:ind w:firstLineChars="0" w:firstLine="0"/>
      </w:pPr>
      <w:r>
        <w:rPr>
          <w:rFonts w:ascii="Arial" w:hAnsi="Arial" w:eastAsia="黑体"/>
          <w:b/>
          <w:i w:val="0"/>
          <w:color w:val="000000"/>
          <w:sz w:val="28"/>
        </w:rPr>
        <w:t>2.1 访问地址</w:t>
      </w:r>
    </w:p>
    <w:p>
      <w:pPr>
        <w:spacing w:line="240" w:lineRule="auto" w:before="120" w:after="80"/>
        <w:jc w:val="center"/>
        <w:ind w:firstLineChars="0" w:firstLine="0"/>
      </w:pPr>
      <w:r>
        <w:rPr>
          <w:rFonts w:ascii="Arial" w:hAnsi="Arial" w:eastAsia="宋体"/>
          <w:b/>
          <w:i w:val="0"/>
          <w:color w:val="000000"/>
          <w:sz w:val="21"/>
        </w:rPr>
        <w:t>表 2-1 访问地址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8" w:color="808080"/>
          <w:left w:val="single" w:sz="8" w:color="808080"/>
          <w:bottom w:val="single" w:sz="8" w:color="808080"/>
          <w:right w:val="single" w:sz="8" w:color="808080"/>
          <w:insideH w:val="single" w:sz="4" w:color="808080"/>
          <w:insideV w:val="single" w:sz="4" w:color="808080"/>
        </w:tblBorders>
      </w:tblPr>
      <w:tblGrid>
        <w:gridCol w:w="3024"/>
        <w:gridCol w:w="3024"/>
        <w:gridCol w:w="3024"/>
      </w:tblGrid>
      <w:tr>
        <w:trPr>
          <w:cantSplit/>
          <w:tblHeader/>
        </w:trPr>
        <w:tc>
          <w:tcPr>
            <w:tcW w:type="dxa" w:w="3024"/>
            <w:vAlign w:val="center"/>
            <w:shd w:val="clear" w:color="auto" w:fill="D9D9D9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/>
                <w:i w:val="0"/>
                <w:color w:val="000000"/>
                <w:sz w:val="21"/>
              </w:rPr>
              <w:t>环境</w:t>
            </w:r>
          </w:p>
        </w:tc>
        <w:tc>
          <w:tcPr>
            <w:tcW w:type="dxa" w:w="3024"/>
            <w:vAlign w:val="center"/>
            <w:shd w:val="clear" w:color="auto" w:fill="D9D9D9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/>
                <w:i w:val="0"/>
                <w:color w:val="000000"/>
                <w:sz w:val="21"/>
              </w:rPr>
              <w:t>前端地址</w:t>
            </w:r>
          </w:p>
        </w:tc>
        <w:tc>
          <w:tcPr>
            <w:tcW w:type="dxa" w:w="3024"/>
            <w:vAlign w:val="center"/>
            <w:shd w:val="clear" w:color="auto" w:fill="D9D9D9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/>
                <w:i w:val="0"/>
                <w:color w:val="000000"/>
                <w:sz w:val="21"/>
              </w:rPr>
              <w:t>后端 API</w:t>
            </w:r>
          </w:p>
        </w:tc>
      </w:tr>
      <w:tr>
        <w:trPr>
          <w:cantSplit/>
        </w:trPr>
        <w:tc>
          <w:tcPr>
            <w:tcW w:type="dxa" w:w="3024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本地开发</w:t>
            </w:r>
          </w:p>
        </w:tc>
        <w:tc>
          <w:tcPr>
            <w:tcW w:type="dxa" w:w="3024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http://localhost:5173（数据中台）/ http://localhost:5174（组态）</w:t>
            </w:r>
          </w:p>
        </w:tc>
        <w:tc>
          <w:tcPr>
            <w:tcW w:type="dxa" w:w="3024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http://localhost:4000 / 4100</w:t>
            </w:r>
          </w:p>
        </w:tc>
      </w:tr>
      <w:tr>
        <w:trPr>
          <w:cantSplit/>
        </w:trPr>
        <w:tc>
          <w:tcPr>
            <w:tcW w:type="dxa" w:w="3024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生产部署</w:t>
            </w:r>
          </w:p>
        </w:tc>
        <w:tc>
          <w:tcPr>
            <w:tcW w:type="dxa" w:w="3024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Nginx 发布的 Web 地址</w:t>
            </w:r>
          </w:p>
        </w:tc>
        <w:tc>
          <w:tcPr>
            <w:tcW w:type="dxa" w:w="3024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同域或网关反代</w:t>
            </w:r>
          </w:p>
        </w:tc>
      </w:tr>
    </w:tbl>
    <w:p>
      <w:pPr>
        <w:spacing w:after="80" w:line="240" w:lineRule="auto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12"/>
        </w:rPr>
      </w:r>
    </w:p>
    <w:p>
      <w:pPr>
        <w:pStyle w:val="Heading2"/>
        <w:spacing w:before="220" w:after="100" w:line="240" w:lineRule="auto"/>
        <w:ind w:firstLineChars="0" w:firstLine="0"/>
      </w:pPr>
      <w:r>
        <w:rPr>
          <w:rFonts w:ascii="Arial" w:hAnsi="Arial" w:eastAsia="黑体"/>
          <w:b/>
          <w:i w:val="0"/>
          <w:color w:val="000000"/>
          <w:sz w:val="28"/>
        </w:rPr>
        <w:t>2.2 登录与安全</w:t>
      </w:r>
    </w:p>
    <w:p>
      <w:pPr>
        <w:spacing w:line="312" w:lineRule="auto" w:after="40"/>
        <w:numPr>
          <w:ilvl w:val="0"/>
          <w:numId w:val="1"/>
        </w:numPr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浏览器打开系统入口地址，进入登录页。</w:t>
      </w:r>
    </w:p>
    <w:p>
      <w:pPr>
        <w:spacing w:line="312" w:lineRule="auto" w:after="40"/>
        <w:numPr>
          <w:ilvl w:val="0"/>
          <w:numId w:val="1"/>
        </w:numPr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使用管理员账号登录（默认账号 admin / admin123，可在用户管理中修改）。</w:t>
      </w:r>
    </w:p>
    <w:p>
      <w:pPr>
        <w:spacing w:line="312" w:lineRule="auto" w:after="40"/>
        <w:numPr>
          <w:ilvl w:val="0"/>
          <w:numId w:val="1"/>
        </w:numPr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登录采用 JWT 双 Token 机制：Access Token（15 分钟有效）+ Refresh Token（7 天有效，自动轮换续期），支持多设备会话管理、强制下线与登录历史追溯。</w:t>
      </w:r>
    </w:p>
    <w:p>
      <w:pPr>
        <w:spacing w:line="312" w:lineRule="auto" w:after="40"/>
        <w:numPr>
          <w:ilvl w:val="0"/>
          <w:numId w:val="1"/>
        </w:numPr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系统支持双因素认证（MFA / TOTP 动态口令），可在用户管理中为账号启用，登录时需二次验证。</w:t>
      </w:r>
    </w:p>
    <w:p>
      <w:pPr>
        <w:spacing w:line="312" w:lineRule="auto" w:after="40"/>
        <w:numPr>
          <w:ilvl w:val="0"/>
          <w:numId w:val="1"/>
        </w:numPr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开发调试模式（VITE_DEBUG_SKIP_AUTH=true）下会自动以 Debug User 进入，界面与正常登录一致；生产环境关闭。</w:t>
      </w:r>
    </w:p>
    <w:p>
      <w:pPr>
        <w:spacing w:line="360" w:lineRule="auto" w:before="0" w:after="0"/>
        <w:ind w:firstLine="480"/>
        <w:jc w:val="both"/>
      </w:pPr>
      <w:r>
        <w:rPr>
          <w:rFonts w:ascii="Arial" w:hAnsi="Arial" w:eastAsia="宋体"/>
          <w:b w:val="0"/>
          <w:i w:val="0"/>
          <w:color w:val="000000"/>
          <w:sz w:val="24"/>
        </w:rPr>
        <w:t>登录安全机制：密码 bcrypt 加密存储、登录爆破防护（5 次/30 分钟锁定）、权限变更审计日志、操作日志全程留痕。</w:t>
      </w:r>
    </w:p>
    <w:p>
      <w:pPr>
        <w:spacing w:line="360" w:lineRule="auto" w:before="0" w:after="0"/>
        <w:ind w:firstLine="480"/>
        <w:jc w:val="both"/>
      </w:pPr>
      <w:r>
        <w:rPr>
          <w:rFonts w:ascii="Arial" w:hAnsi="Arial" w:eastAsia="宋体"/>
          <w:b w:val="0"/>
          <w:i w:val="0"/>
          <w:color w:val="000000"/>
          <w:sz w:val="24"/>
        </w:rPr>
        <w:t>顶部导航提供 系统概览 / 项目管理 / 设备管理 / 采集管理 / 事件中心 / 脚本管理 / 报表管理 / 设备模板管理 / 组态管理 / 系统管理 / 系统运维 / 系统日志 一级入口，右上角可直达「编辑器」。</w:t>
      </w:r>
    </w:p>
    <w:p>
      <w:pPr>
        <w:pStyle w:val="Heading1"/>
        <w:spacing w:before="280" w:after="120" w:line="240" w:lineRule="auto"/>
        <w:ind w:firstLineChars="0" w:firstLine="0"/>
      </w:pPr>
      <w:r>
        <w:rPr>
          <w:rFonts w:ascii="Arial" w:hAnsi="Arial" w:eastAsia="黑体"/>
          <w:b/>
          <w:i w:val="0"/>
          <w:color w:val="000000"/>
          <w:sz w:val="32"/>
        </w:rPr>
        <w:t>3. 项目管理</w:t>
      </w:r>
    </w:p>
    <w:p>
      <w:pPr>
        <w:spacing w:line="360" w:lineRule="auto" w:before="0" w:after="0"/>
        <w:ind w:firstLine="480"/>
        <w:jc w:val="both"/>
      </w:pPr>
      <w:r>
        <w:rPr>
          <w:rFonts w:ascii="Arial" w:hAnsi="Arial" w:eastAsia="宋体"/>
          <w:b w:val="0"/>
          <w:i w:val="0"/>
          <w:color w:val="000000"/>
          <w:sz w:val="24"/>
        </w:rPr>
        <w:t>项目管理是系统使用的主入口：所有设备、标签、画面、报表等资源均归属于具体项目。登录后默认进入项目列表页。</w:t>
      </w:r>
    </w:p>
    <w:p>
      <w:pPr>
        <w:pStyle w:val="Heading2"/>
        <w:spacing w:before="220" w:after="100" w:line="240" w:lineRule="auto"/>
        <w:ind w:firstLineChars="0" w:firstLine="0"/>
      </w:pPr>
      <w:r>
        <w:rPr>
          <w:rFonts w:ascii="Arial" w:hAnsi="Arial" w:eastAsia="黑体"/>
          <w:b/>
          <w:i w:val="0"/>
          <w:color w:val="000000"/>
          <w:sz w:val="28"/>
        </w:rPr>
        <w:t>3.1 项目列表</w:t>
      </w:r>
    </w:p>
    <w:p>
      <w:pPr>
        <w:spacing w:line="360" w:lineRule="auto" w:before="0" w:after="0"/>
        <w:ind w:firstLine="480"/>
        <w:jc w:val="both"/>
      </w:pPr>
      <w:r>
        <w:rPr>
          <w:rFonts w:ascii="Arial" w:hAnsi="Arial" w:eastAsia="宋体"/>
          <w:b w:val="0"/>
          <w:i w:val="0"/>
          <w:color w:val="000000"/>
          <w:sz w:val="24"/>
        </w:rPr>
        <w:t>项目列表以卡片形式展示全部项目，每张卡片包含：项目名称、状态（启用/停用）、创建时间、描述、页面数量、存储占用、版本号、存储路径，以及「管理 / 设为默认 / 编辑器」三个操作入口。</w:t>
      </w:r>
    </w:p>
    <w:p>
      <w:pPr>
        <w:keepNext/>
        <w:spacing w:before="120" w:after="40"/>
        <w:jc w:val="center"/>
        <w:ind w:firstLineChars="0" w:firstLine="0"/>
      </w:pPr>
      <w:r>
        <w:drawing>
          <wp:inline xmlns:a="http://schemas.openxmlformats.org/drawingml/2006/main" xmlns:pic="http://schemas.openxmlformats.org/drawingml/2006/picture">
            <wp:extent cx="5400000" cy="29337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-项目管理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9337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keepLines/>
        <w:spacing w:before="40" w:after="160" w:line="240" w:lineRule="auto"/>
        <w:jc w:val="center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1"/>
        </w:rPr>
        <w:t>图 1 项目管理页（6 个项目卡片）</w:t>
      </w:r>
    </w:p>
    <w:p>
      <w:pPr>
        <w:spacing w:line="240" w:lineRule="auto" w:before="120" w:after="80"/>
        <w:jc w:val="center"/>
        <w:ind w:firstLineChars="0" w:firstLine="0"/>
      </w:pPr>
      <w:r>
        <w:rPr>
          <w:rFonts w:ascii="Arial" w:hAnsi="Arial" w:eastAsia="宋体"/>
          <w:b/>
          <w:i w:val="0"/>
          <w:color w:val="000000"/>
          <w:sz w:val="21"/>
        </w:rPr>
        <w:t>表 3-1 项目卡片操作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8" w:color="808080"/>
          <w:left w:val="single" w:sz="8" w:color="808080"/>
          <w:bottom w:val="single" w:sz="8" w:color="808080"/>
          <w:right w:val="single" w:sz="8" w:color="808080"/>
          <w:insideH w:val="single" w:sz="4" w:color="808080"/>
          <w:insideV w:val="single" w:sz="4" w:color="808080"/>
        </w:tblBorders>
      </w:tblPr>
      <w:tblGrid>
        <w:gridCol w:w="4536"/>
        <w:gridCol w:w="4536"/>
      </w:tblGrid>
      <w:tr>
        <w:trPr>
          <w:cantSplit/>
          <w:tblHeader/>
        </w:trPr>
        <w:tc>
          <w:tcPr>
            <w:tcW w:type="dxa" w:w="4536"/>
            <w:vAlign w:val="center"/>
            <w:shd w:val="clear" w:color="auto" w:fill="D9D9D9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/>
                <w:i w:val="0"/>
                <w:color w:val="000000"/>
                <w:sz w:val="21"/>
              </w:rPr>
              <w:t>操作</w:t>
            </w:r>
          </w:p>
        </w:tc>
        <w:tc>
          <w:tcPr>
            <w:tcW w:type="dxa" w:w="4536"/>
            <w:vAlign w:val="center"/>
            <w:shd w:val="clear" w:color="auto" w:fill="D9D9D9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/>
                <w:i w:val="0"/>
                <w:color w:val="000000"/>
                <w:sz w:val="21"/>
              </w:rPr>
              <w:t>说明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管理</w:t>
            </w:r>
          </w:p>
        </w:tc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进入该项目的数据中台管理页（项目信息、页面、设备、标签等）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设为默认 / 默认</w:t>
            </w:r>
          </w:p>
        </w:tc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将项目设为系统默认项目，编辑器打开时直接定位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编辑器</w:t>
            </w:r>
          </w:p>
        </w:tc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直接打开该项目的组态编辑器</w:t>
            </w:r>
          </w:p>
        </w:tc>
      </w:tr>
    </w:tbl>
    <w:p>
      <w:pPr>
        <w:spacing w:after="80" w:line="240" w:lineRule="auto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12"/>
        </w:rPr>
      </w:r>
    </w:p>
    <w:p>
      <w:pPr>
        <w:pStyle w:val="Heading2"/>
        <w:spacing w:before="220" w:after="100" w:line="240" w:lineRule="auto"/>
        <w:ind w:firstLineChars="0" w:firstLine="0"/>
      </w:pPr>
      <w:r>
        <w:rPr>
          <w:rFonts w:ascii="Arial" w:hAnsi="Arial" w:eastAsia="黑体"/>
          <w:b/>
          <w:i w:val="0"/>
          <w:color w:val="000000"/>
          <w:sz w:val="28"/>
        </w:rPr>
        <w:t>3.2 新建项目</w:t>
      </w:r>
    </w:p>
    <w:p>
      <w:pPr>
        <w:spacing w:line="312" w:lineRule="auto" w:after="40"/>
        <w:numPr>
          <w:ilvl w:val="0"/>
          <w:numId w:val="2"/>
        </w:numPr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点击右上角「新建项目」按钮，输入项目名称与描述。</w:t>
      </w:r>
    </w:p>
    <w:p>
      <w:pPr>
        <w:spacing w:line="312" w:lineRule="auto" w:after="40"/>
        <w:numPr>
          <w:ilvl w:val="0"/>
          <w:numId w:val="2"/>
        </w:numPr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系统根据中文名自动生成拼音 projectId（如「测试工程」→ ce-shi-gong-cheng），冲突时自动追加数字后缀。</w:t>
      </w:r>
    </w:p>
    <w:p>
      <w:pPr>
        <w:spacing w:line="312" w:lineRule="auto" w:after="40"/>
        <w:numPr>
          <w:ilvl w:val="0"/>
          <w:numId w:val="2"/>
        </w:numPr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创建成功后自动生成独立项目数据库（SQLite system.db）、实时数据库 Bucket（ss_node_data_{projectId}）与默认首页，项目间数据完全隔离。</w:t>
      </w:r>
    </w:p>
    <w:p>
      <w:pPr>
        <w:pStyle w:val="Heading2"/>
        <w:spacing w:before="220" w:after="100" w:line="240" w:lineRule="auto"/>
        <w:ind w:firstLineChars="0" w:firstLine="0"/>
      </w:pPr>
      <w:r>
        <w:rPr>
          <w:rFonts w:ascii="Arial" w:hAnsi="Arial" w:eastAsia="黑体"/>
          <w:b/>
          <w:i w:val="0"/>
          <w:color w:val="000000"/>
          <w:sz w:val="28"/>
        </w:rPr>
        <w:t>3.3 项目信息管理</w:t>
      </w:r>
    </w:p>
    <w:p>
      <w:pPr>
        <w:spacing w:line="360" w:lineRule="auto" w:before="0" w:after="0"/>
        <w:ind w:firstLine="480"/>
        <w:jc w:val="both"/>
      </w:pPr>
      <w:r>
        <w:rPr>
          <w:rFonts w:ascii="Arial" w:hAnsi="Arial" w:eastAsia="宋体"/>
          <w:b w:val="0"/>
          <w:i w:val="0"/>
          <w:color w:val="000000"/>
          <w:sz w:val="24"/>
        </w:rPr>
        <w:t>在项目卡片点击「管理」进入项目信息页，可查看与维护：项目标识（项目 ID / 页面数量 / 数据库模式 isolated）、基本信息（项目代码 / 项目地址 / 经纬度 / 负责人）、存储路径（项目路径 / 项目数据库 / 实时数据库）、时间信息（创建 / 更新 / 操作人）。</w:t>
      </w:r>
    </w:p>
    <w:p>
      <w:pPr>
        <w:keepNext/>
        <w:spacing w:before="120" w:after="40"/>
        <w:jc w:val="center"/>
        <w:ind w:firstLineChars="0" w:firstLine="0"/>
      </w:pPr>
      <w:r>
        <w:drawing>
          <wp:inline xmlns:a="http://schemas.openxmlformats.org/drawingml/2006/main" xmlns:pic="http://schemas.openxmlformats.org/drawingml/2006/picture">
            <wp:extent cx="5400000" cy="293378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-项目信息管理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9337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keepLines/>
        <w:spacing w:before="40" w:after="160" w:line="240" w:lineRule="auto"/>
        <w:jc w:val="center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1"/>
        </w:rPr>
        <w:t>图 2 智慧工厂演示项目信息管理页</w:t>
      </w:r>
    </w:p>
    <w:p>
      <w:pPr>
        <w:pStyle w:val="Heading2"/>
        <w:spacing w:before="220" w:after="100" w:line="240" w:lineRule="auto"/>
        <w:ind w:firstLineChars="0" w:firstLine="0"/>
      </w:pPr>
      <w:r>
        <w:rPr>
          <w:rFonts w:ascii="Arial" w:hAnsi="Arial" w:eastAsia="黑体"/>
          <w:b/>
          <w:i w:val="0"/>
          <w:color w:val="000000"/>
          <w:sz w:val="28"/>
        </w:rPr>
        <w:t>3.4 页面管理</w:t>
      </w:r>
    </w:p>
    <w:p>
      <w:pPr>
        <w:pStyle w:val="ListBullet"/>
        <w:spacing w:line="312" w:lineRule="auto" w:after="40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项目内页面（组态画面）支持新建、编辑、删除、拖拽排序与分组管理。</w:t>
      </w:r>
    </w:p>
    <w:p>
      <w:pPr>
        <w:pStyle w:val="ListBullet"/>
        <w:spacing w:line="312" w:lineRule="auto" w:after="40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页面图形 JSON 可达 MB 级，保存时自动截取页面预览图并上传，用于项目卡片与列表缩略展示。</w:t>
      </w:r>
    </w:p>
    <w:p>
      <w:pPr>
        <w:pStyle w:val="ListBullet"/>
        <w:spacing w:line="312" w:lineRule="auto" w:after="40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页面资源支持背景图上传与分组管理，便于大屏项目组织多页面。</w:t>
      </w:r>
    </w:p>
    <w:p>
      <w:pPr>
        <w:pStyle w:val="Heading2"/>
        <w:spacing w:before="220" w:after="100" w:line="240" w:lineRule="auto"/>
        <w:ind w:firstLineChars="0" w:firstLine="0"/>
      </w:pPr>
      <w:r>
        <w:rPr>
          <w:rFonts w:ascii="Arial" w:hAnsi="Arial" w:eastAsia="黑体"/>
          <w:b/>
          <w:i w:val="0"/>
          <w:color w:val="000000"/>
          <w:sz w:val="28"/>
        </w:rPr>
        <w:t>3.5 项目配置</w:t>
      </w:r>
    </w:p>
    <w:p>
      <w:pPr>
        <w:spacing w:line="360" w:lineRule="auto" w:before="0" w:after="0"/>
        <w:ind w:firstLine="480"/>
        <w:jc w:val="both"/>
      </w:pPr>
      <w:r>
        <w:rPr>
          <w:rFonts w:ascii="Arial" w:hAnsi="Arial" w:eastAsia="宋体"/>
          <w:b w:val="0"/>
          <w:i w:val="0"/>
          <w:color w:val="000000"/>
          <w:sz w:val="24"/>
        </w:rPr>
        <w:t>项目配置支持：主题、语言、自动保存间隔、历史数据保留天数、时区等，修改后实时热更新，无需重启服务。</w:t>
      </w:r>
    </w:p>
    <w:p>
      <w:pPr>
        <w:pStyle w:val="Heading2"/>
        <w:spacing w:before="220" w:after="100" w:line="240" w:lineRule="auto"/>
        <w:ind w:firstLineChars="0" w:firstLine="0"/>
      </w:pPr>
      <w:r>
        <w:rPr>
          <w:rFonts w:ascii="Arial" w:hAnsi="Arial" w:eastAsia="黑体"/>
          <w:b/>
          <w:i w:val="0"/>
          <w:color w:val="000000"/>
          <w:sz w:val="28"/>
        </w:rPr>
        <w:t>3.6 项目复制</w:t>
      </w:r>
    </w:p>
    <w:p>
      <w:pPr>
        <w:spacing w:line="360" w:lineRule="auto" w:before="0" w:after="0"/>
        <w:ind w:firstLine="480"/>
        <w:jc w:val="both"/>
      </w:pPr>
      <w:r>
        <w:rPr>
          <w:rFonts w:ascii="Arial" w:hAnsi="Arial" w:eastAsia="宋体"/>
          <w:b w:val="0"/>
          <w:i w:val="0"/>
          <w:color w:val="000000"/>
          <w:sz w:val="24"/>
        </w:rPr>
        <w:t>支持一键复制项目（深拷贝配置 + 页面 + 设备 + 标签），复制后项目名称自动追加「副本」后缀，用于快速搭建同构工程。</w:t>
      </w:r>
    </w:p>
    <w:p>
      <w:pPr>
        <w:pStyle w:val="Heading2"/>
        <w:spacing w:before="220" w:after="100" w:line="240" w:lineRule="auto"/>
        <w:ind w:firstLineChars="0" w:firstLine="0"/>
      </w:pPr>
      <w:r>
        <w:rPr>
          <w:rFonts w:ascii="Arial" w:hAnsi="Arial" w:eastAsia="黑体"/>
          <w:b/>
          <w:i w:val="0"/>
          <w:color w:val="000000"/>
          <w:sz w:val="28"/>
        </w:rPr>
        <w:t>3.7 导入导出</w:t>
      </w:r>
    </w:p>
    <w:p>
      <w:pPr>
        <w:pStyle w:val="ListBullet"/>
        <w:spacing w:line="312" w:lineRule="auto" w:after="40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导出数据：选择资源类型（页面 / 项目数据库），可「导出全部」或「仅导出页面」为 ZIP 文件。</w:t>
      </w:r>
    </w:p>
    <w:p>
      <w:pPr>
        <w:pStyle w:val="ListBullet"/>
        <w:spacing w:line="312" w:lineRule="auto" w:after="40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导入数据：选择「导入全部（项目+页面）」或「仅导入页面」，上传 ZIP 完成导入，便于项目迁移与备份。</w:t>
      </w:r>
    </w:p>
    <w:p>
      <w:pPr>
        <w:pStyle w:val="ListBullet"/>
        <w:spacing w:line="312" w:lineRule="auto" w:after="40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资源诊断：点击「执行诊断」检查项目资源完整性与一致性。</w:t>
      </w:r>
    </w:p>
    <w:p>
      <w:pPr>
        <w:spacing w:line="360" w:lineRule="auto" w:before="0" w:after="0"/>
        <w:ind w:firstLine="480"/>
        <w:jc w:val="both"/>
      </w:pPr>
      <w:r>
        <w:rPr>
          <w:rFonts w:ascii="Arial" w:hAnsi="Arial" w:eastAsia="宋体"/>
          <w:b w:val="0"/>
          <w:i w:val="0"/>
          <w:color w:val="000000"/>
          <w:sz w:val="24"/>
        </w:rPr>
        <w:t>注意：导入会覆盖同名资源，执行前请确认目标项目或先导出备份。</w:t>
      </w:r>
    </w:p>
    <w:p>
      <w:pPr>
        <w:pStyle w:val="Heading1"/>
        <w:spacing w:before="280" w:after="120" w:line="240" w:lineRule="auto"/>
        <w:ind w:firstLineChars="0" w:firstLine="0"/>
      </w:pPr>
      <w:r>
        <w:rPr>
          <w:rFonts w:ascii="Arial" w:hAnsi="Arial" w:eastAsia="黑体"/>
          <w:b/>
          <w:i w:val="0"/>
          <w:color w:val="000000"/>
          <w:sz w:val="32"/>
        </w:rPr>
        <w:t>4. 设备管理</w:t>
      </w:r>
    </w:p>
    <w:p>
      <w:pPr>
        <w:spacing w:line="360" w:lineRule="auto" w:before="0" w:after="0"/>
        <w:ind w:firstLine="480"/>
        <w:jc w:val="both"/>
      </w:pPr>
      <w:r>
        <w:rPr>
          <w:rFonts w:ascii="Arial" w:hAnsi="Arial" w:eastAsia="宋体"/>
          <w:b w:val="0"/>
          <w:i w:val="0"/>
          <w:color w:val="000000"/>
          <w:sz w:val="24"/>
        </w:rPr>
        <w:t>设备管理维护接入的 PLC、仪表、网关等工业设备。进入顶部「设备管理」后需在页面上方选择项目，页面分为左侧设备树与右侧设备列表。</w:t>
      </w:r>
    </w:p>
    <w:p>
      <w:pPr>
        <w:pStyle w:val="Heading2"/>
        <w:spacing w:before="220" w:after="100" w:line="240" w:lineRule="auto"/>
        <w:ind w:firstLineChars="0" w:firstLine="0"/>
      </w:pPr>
      <w:r>
        <w:rPr>
          <w:rFonts w:ascii="Arial" w:hAnsi="Arial" w:eastAsia="黑体"/>
          <w:b/>
          <w:i w:val="0"/>
          <w:color w:val="000000"/>
          <w:sz w:val="28"/>
        </w:rPr>
        <w:t>4.1 设备树与分组</w:t>
      </w:r>
    </w:p>
    <w:p>
      <w:pPr>
        <w:spacing w:line="360" w:lineRule="auto" w:before="0" w:after="0"/>
        <w:ind w:firstLine="480"/>
        <w:jc w:val="both"/>
      </w:pPr>
      <w:r>
        <w:rPr>
          <w:rFonts w:ascii="Arial" w:hAnsi="Arial" w:eastAsia="宋体"/>
          <w:b w:val="0"/>
          <w:i w:val="0"/>
          <w:color w:val="000000"/>
          <w:sz w:val="24"/>
        </w:rPr>
        <w:t>左侧按项目组织设备树，项目下可建立分组（如 能源管理 / 电能计量 / 水务计量 / 燃气计量 / 集抄网关），分组支持最多 3 级树形结构，便于批量管理与画面绑定。</w:t>
      </w:r>
    </w:p>
    <w:p>
      <w:pPr>
        <w:pStyle w:val="Heading2"/>
        <w:spacing w:before="220" w:after="100" w:line="240" w:lineRule="auto"/>
        <w:ind w:firstLineChars="0" w:firstLine="0"/>
      </w:pPr>
      <w:r>
        <w:rPr>
          <w:rFonts w:ascii="Arial" w:hAnsi="Arial" w:eastAsia="黑体"/>
          <w:b/>
          <w:i w:val="0"/>
          <w:color w:val="000000"/>
          <w:sz w:val="28"/>
        </w:rPr>
        <w:t>4.2 设备列表</w:t>
      </w:r>
    </w:p>
    <w:p>
      <w:pPr>
        <w:spacing w:line="360" w:lineRule="auto" w:before="0" w:after="0"/>
        <w:ind w:firstLine="480"/>
        <w:jc w:val="both"/>
      </w:pPr>
      <w:r>
        <w:rPr>
          <w:rFonts w:ascii="Arial" w:hAnsi="Arial" w:eastAsia="宋体"/>
          <w:b w:val="0"/>
          <w:i w:val="0"/>
          <w:color w:val="000000"/>
          <w:sz w:val="24"/>
        </w:rPr>
        <w:t>右侧展示所选分组/项目的设备列表，包含：设备编码、设备名称、状态（在线/离线）、最近上线、最近数据、修改时间、采集驱动、设备模板、模板版本、绑定时间等字段；支持状态筛选、关键字搜索、列配置与导出。</w:t>
      </w:r>
    </w:p>
    <w:p>
      <w:pPr>
        <w:keepNext/>
        <w:spacing w:before="120" w:after="40"/>
        <w:jc w:val="center"/>
        <w:ind w:firstLineChars="0" w:firstLine="0"/>
      </w:pPr>
      <w:r>
        <w:drawing>
          <wp:inline xmlns:a="http://schemas.openxmlformats.org/drawingml/2006/main" xmlns:pic="http://schemas.openxmlformats.org/drawingml/2006/picture">
            <wp:extent cx="5400000" cy="405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-设备管理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keepLines/>
        <w:spacing w:before="40" w:after="160" w:line="240" w:lineRule="auto"/>
        <w:jc w:val="center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1"/>
        </w:rPr>
        <w:t>图 3 设备管理页（18 台设备，虚拟仿真采集，全部在线）</w:t>
      </w:r>
    </w:p>
    <w:p>
      <w:pPr>
        <w:pStyle w:val="Heading2"/>
        <w:spacing w:before="220" w:after="100" w:line="240" w:lineRule="auto"/>
        <w:ind w:firstLineChars="0" w:firstLine="0"/>
      </w:pPr>
      <w:r>
        <w:rPr>
          <w:rFonts w:ascii="Arial" w:hAnsi="Arial" w:eastAsia="黑体"/>
          <w:b/>
          <w:i w:val="0"/>
          <w:color w:val="000000"/>
          <w:sz w:val="28"/>
        </w:rPr>
        <w:t>4.3 添加设备</w:t>
      </w:r>
    </w:p>
    <w:p>
      <w:pPr>
        <w:spacing w:line="312" w:lineRule="auto" w:after="40"/>
        <w:numPr>
          <w:ilvl w:val="0"/>
          <w:numId w:val="3"/>
        </w:numPr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点击「添加设备」按钮，选择设备分组。</w:t>
      </w:r>
    </w:p>
    <w:p>
      <w:pPr>
        <w:spacing w:line="312" w:lineRule="auto" w:after="40"/>
        <w:numPr>
          <w:ilvl w:val="0"/>
          <w:numId w:val="3"/>
        </w:numPr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填写设备编码（如 FAS-SAH-B）与设备名称（如 暖风器B）。</w:t>
      </w:r>
    </w:p>
    <w:p>
      <w:pPr>
        <w:spacing w:line="312" w:lineRule="auto" w:after="40"/>
        <w:numPr>
          <w:ilvl w:val="0"/>
          <w:numId w:val="3"/>
        </w:numPr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选择采集驱动（Modbus TCP / Modbus RTU / OPC UA / MQTT / S7 / 虚拟仿真等）并配置连接参数。</w:t>
      </w:r>
    </w:p>
    <w:p>
      <w:pPr>
        <w:spacing w:line="312" w:lineRule="auto" w:after="40"/>
        <w:numPr>
          <w:ilvl w:val="0"/>
          <w:numId w:val="3"/>
        </w:numPr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绑定设备模板（模板定义了该类型设备的变量点表），保存后设备自动接入采集管线。</w:t>
      </w:r>
    </w:p>
    <w:p>
      <w:pPr>
        <w:pStyle w:val="Heading2"/>
        <w:spacing w:before="220" w:after="100" w:line="240" w:lineRule="auto"/>
        <w:ind w:firstLineChars="0" w:firstLine="0"/>
      </w:pPr>
      <w:r>
        <w:rPr>
          <w:rFonts w:ascii="Arial" w:hAnsi="Arial" w:eastAsia="黑体"/>
          <w:b/>
          <w:i w:val="0"/>
          <w:color w:val="000000"/>
          <w:sz w:val="28"/>
        </w:rPr>
        <w:t>4.4 设备状态机</w:t>
      </w:r>
    </w:p>
    <w:p>
      <w:pPr>
        <w:spacing w:line="360" w:lineRule="auto" w:before="0" w:after="0"/>
        <w:ind w:firstLine="480"/>
        <w:jc w:val="both"/>
      </w:pPr>
      <w:r>
        <w:rPr>
          <w:rFonts w:ascii="Arial" w:hAnsi="Arial" w:eastAsia="宋体"/>
          <w:b w:val="0"/>
          <w:i w:val="0"/>
          <w:color w:val="000000"/>
          <w:sz w:val="24"/>
        </w:rPr>
        <w:t>设备状态采用五态状态机：OFFLINE（离线）→ CONNECTING（连接中）→ ONLINE（在线）→ DEGRADED（降级，部分数据异常）→ ERROR（错误），支持自动诊断与恢复。</w:t>
      </w:r>
    </w:p>
    <w:p>
      <w:pPr>
        <w:spacing w:line="240" w:lineRule="auto" w:before="120" w:after="80"/>
        <w:jc w:val="center"/>
        <w:ind w:firstLineChars="0" w:firstLine="0"/>
      </w:pPr>
      <w:r>
        <w:rPr>
          <w:rFonts w:ascii="Arial" w:hAnsi="Arial" w:eastAsia="宋体"/>
          <w:b/>
          <w:i w:val="0"/>
          <w:color w:val="000000"/>
          <w:sz w:val="21"/>
        </w:rPr>
        <w:t>表 4-1 设备五态状态机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8" w:color="808080"/>
          <w:left w:val="single" w:sz="8" w:color="808080"/>
          <w:bottom w:val="single" w:sz="8" w:color="808080"/>
          <w:right w:val="single" w:sz="8" w:color="808080"/>
          <w:insideH w:val="single" w:sz="4" w:color="808080"/>
          <w:insideV w:val="single" w:sz="4" w:color="808080"/>
        </w:tblBorders>
      </w:tblPr>
      <w:tblGrid>
        <w:gridCol w:w="3024"/>
        <w:gridCol w:w="3024"/>
        <w:gridCol w:w="3024"/>
      </w:tblGrid>
      <w:tr>
        <w:trPr>
          <w:cantSplit/>
          <w:tblHeader/>
        </w:trPr>
        <w:tc>
          <w:tcPr>
            <w:tcW w:type="dxa" w:w="3024"/>
            <w:vAlign w:val="center"/>
            <w:shd w:val="clear" w:color="auto" w:fill="D9D9D9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/>
                <w:i w:val="0"/>
                <w:color w:val="000000"/>
                <w:sz w:val="21"/>
              </w:rPr>
              <w:t>状态</w:t>
            </w:r>
          </w:p>
        </w:tc>
        <w:tc>
          <w:tcPr>
            <w:tcW w:type="dxa" w:w="3024"/>
            <w:vAlign w:val="center"/>
            <w:shd w:val="clear" w:color="auto" w:fill="D9D9D9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/>
                <w:i w:val="0"/>
                <w:color w:val="000000"/>
                <w:sz w:val="21"/>
              </w:rPr>
              <w:t>含义</w:t>
            </w:r>
          </w:p>
        </w:tc>
        <w:tc>
          <w:tcPr>
            <w:tcW w:type="dxa" w:w="3024"/>
            <w:vAlign w:val="center"/>
            <w:shd w:val="clear" w:color="auto" w:fill="D9D9D9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/>
                <w:i w:val="0"/>
                <w:color w:val="000000"/>
                <w:sz w:val="21"/>
              </w:rPr>
              <w:t>处置建议</w:t>
            </w:r>
          </w:p>
        </w:tc>
      </w:tr>
      <w:tr>
        <w:trPr>
          <w:cantSplit/>
        </w:trPr>
        <w:tc>
          <w:tcPr>
            <w:tcW w:type="dxa" w:w="3024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OFFLINE</w:t>
            </w:r>
          </w:p>
        </w:tc>
        <w:tc>
          <w:tcPr>
            <w:tcW w:type="dxa" w:w="3024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设备离线</w:t>
            </w:r>
          </w:p>
        </w:tc>
        <w:tc>
          <w:tcPr>
            <w:tcW w:type="dxa" w:w="3024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检查网络、从站地址、驱动连接配置</w:t>
            </w:r>
          </w:p>
        </w:tc>
      </w:tr>
      <w:tr>
        <w:trPr>
          <w:cantSplit/>
        </w:trPr>
        <w:tc>
          <w:tcPr>
            <w:tcW w:type="dxa" w:w="3024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CONNECTING</w:t>
            </w:r>
          </w:p>
        </w:tc>
        <w:tc>
          <w:tcPr>
            <w:tcW w:type="dxa" w:w="3024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连接建立中</w:t>
            </w:r>
          </w:p>
        </w:tc>
        <w:tc>
          <w:tcPr>
            <w:tcW w:type="dxa" w:w="3024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等待自动重连完成</w:t>
            </w:r>
          </w:p>
        </w:tc>
      </w:tr>
      <w:tr>
        <w:trPr>
          <w:cantSplit/>
        </w:trPr>
        <w:tc>
          <w:tcPr>
            <w:tcW w:type="dxa" w:w="3024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ONLINE</w:t>
            </w:r>
          </w:p>
        </w:tc>
        <w:tc>
          <w:tcPr>
            <w:tcW w:type="dxa" w:w="3024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在线且采集正常</w:t>
            </w:r>
          </w:p>
        </w:tc>
        <w:tc>
          <w:tcPr>
            <w:tcW w:type="dxa" w:w="3024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—</w:t>
            </w:r>
          </w:p>
        </w:tc>
      </w:tr>
      <w:tr>
        <w:trPr>
          <w:cantSplit/>
        </w:trPr>
        <w:tc>
          <w:tcPr>
            <w:tcW w:type="dxa" w:w="3024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DEGRADED</w:t>
            </w:r>
          </w:p>
        </w:tc>
        <w:tc>
          <w:tcPr>
            <w:tcW w:type="dxa" w:w="3024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部分标签采集异常</w:t>
            </w:r>
          </w:p>
        </w:tc>
        <w:tc>
          <w:tcPr>
            <w:tcW w:type="dxa" w:w="3024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查看设备诊断与 Pipeline 日志定位异常标签</w:t>
            </w:r>
          </w:p>
        </w:tc>
      </w:tr>
      <w:tr>
        <w:trPr>
          <w:cantSplit/>
        </w:trPr>
        <w:tc>
          <w:tcPr>
            <w:tcW w:type="dxa" w:w="3024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ERROR</w:t>
            </w:r>
          </w:p>
        </w:tc>
        <w:tc>
          <w:tcPr>
            <w:tcW w:type="dxa" w:w="3024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通信错误</w:t>
            </w:r>
          </w:p>
        </w:tc>
        <w:tc>
          <w:tcPr>
            <w:tcW w:type="dxa" w:w="3024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查看错误日志，联系协议参数排查</w:t>
            </w:r>
          </w:p>
        </w:tc>
      </w:tr>
    </w:tbl>
    <w:p>
      <w:pPr>
        <w:spacing w:after="80" w:line="240" w:lineRule="auto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12"/>
        </w:rPr>
      </w:r>
    </w:p>
    <w:p>
      <w:pPr>
        <w:pStyle w:val="Heading2"/>
        <w:spacing w:before="220" w:after="100" w:line="240" w:lineRule="auto"/>
        <w:ind w:firstLineChars="0" w:firstLine="0"/>
      </w:pPr>
      <w:r>
        <w:rPr>
          <w:rFonts w:ascii="Arial" w:hAnsi="Arial" w:eastAsia="黑体"/>
          <w:b/>
          <w:i w:val="0"/>
          <w:color w:val="000000"/>
          <w:sz w:val="28"/>
        </w:rPr>
        <w:t>4.5 设备诊断</w:t>
      </w:r>
    </w:p>
    <w:p>
      <w:pPr>
        <w:pStyle w:val="ListBullet"/>
        <w:spacing w:line="312" w:lineRule="auto" w:after="40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连接测试：实时测试设备连接连通性。</w:t>
      </w:r>
    </w:p>
    <w:p>
      <w:pPr>
        <w:pStyle w:val="ListBullet"/>
        <w:spacing w:line="312" w:lineRule="auto" w:after="40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地址扫描：扫描 Modbus 从站地址范围，快速发现有效地址。</w:t>
      </w:r>
    </w:p>
    <w:p>
      <w:pPr>
        <w:pStyle w:val="ListBullet"/>
        <w:spacing w:line="312" w:lineRule="auto" w:after="40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延迟测试：测量通信往返延迟。</w:t>
      </w:r>
    </w:p>
    <w:p>
      <w:pPr>
        <w:pStyle w:val="Heading2"/>
        <w:spacing w:before="220" w:after="100" w:line="240" w:lineRule="auto"/>
        <w:ind w:firstLineChars="0" w:firstLine="0"/>
      </w:pPr>
      <w:r>
        <w:rPr>
          <w:rFonts w:ascii="Arial" w:hAnsi="Arial" w:eastAsia="黑体"/>
          <w:b/>
          <w:i w:val="0"/>
          <w:color w:val="000000"/>
          <w:sz w:val="28"/>
        </w:rPr>
        <w:t>4.6 设备仿真模式</w:t>
      </w:r>
    </w:p>
    <w:p>
      <w:pPr>
        <w:spacing w:line="360" w:lineRule="auto" w:before="0" w:after="0"/>
        <w:ind w:firstLine="480"/>
        <w:jc w:val="both"/>
      </w:pPr>
      <w:r>
        <w:rPr>
          <w:rFonts w:ascii="Arial" w:hAnsi="Arial" w:eastAsia="宋体"/>
          <w:b w:val="0"/>
          <w:i w:val="0"/>
          <w:color w:val="000000"/>
          <w:sz w:val="24"/>
        </w:rPr>
        <w:t>设备支持离线仿真（正弦波 / 阶梯 / 随机三种波形），演示项目开箱即用；接入真实设备时替换驱动与连接参数即可，无需改动画面与标签。</w:t>
      </w:r>
    </w:p>
    <w:p>
      <w:pPr>
        <w:pStyle w:val="Heading2"/>
        <w:spacing w:before="220" w:after="100" w:line="240" w:lineRule="auto"/>
        <w:ind w:firstLineChars="0" w:firstLine="0"/>
      </w:pPr>
      <w:r>
        <w:rPr>
          <w:rFonts w:ascii="Arial" w:hAnsi="Arial" w:eastAsia="黑体"/>
          <w:b/>
          <w:i w:val="0"/>
          <w:color w:val="000000"/>
          <w:sz w:val="28"/>
        </w:rPr>
        <w:t>4.7 设备备份与权限</w:t>
      </w:r>
    </w:p>
    <w:p>
      <w:pPr>
        <w:pStyle w:val="ListBullet"/>
        <w:spacing w:line="312" w:lineRule="auto" w:after="40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备份恢复：设备配置支持 JSON 导出、从备份恢复、定时自动备份。</w:t>
      </w:r>
    </w:p>
    <w:p>
      <w:pPr>
        <w:pStyle w:val="ListBullet"/>
        <w:spacing w:line="312" w:lineRule="auto" w:after="40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设备权限：支持用户/角色级设备访问权限与标签级细粒度授权（TagAuthorization），实现数据按权限可见。</w:t>
      </w:r>
    </w:p>
    <w:p>
      <w:pPr>
        <w:pStyle w:val="Heading1"/>
        <w:spacing w:before="280" w:after="120" w:line="240" w:lineRule="auto"/>
        <w:ind w:firstLineChars="0" w:firstLine="0"/>
      </w:pPr>
      <w:r>
        <w:rPr>
          <w:rFonts w:ascii="Arial" w:hAnsi="Arial" w:eastAsia="黑体"/>
          <w:b/>
          <w:i w:val="0"/>
          <w:color w:val="000000"/>
          <w:sz w:val="32"/>
        </w:rPr>
        <w:t>5. 设备模板与数据标签</w:t>
      </w:r>
    </w:p>
    <w:p>
      <w:pPr>
        <w:spacing w:line="360" w:lineRule="auto" w:before="0" w:after="0"/>
        <w:ind w:firstLine="480"/>
        <w:jc w:val="both"/>
      </w:pPr>
      <w:r>
        <w:rPr>
          <w:rFonts w:ascii="Arial" w:hAnsi="Arial" w:eastAsia="宋体"/>
          <w:b w:val="0"/>
          <w:i w:val="0"/>
          <w:color w:val="000000"/>
          <w:sz w:val="24"/>
        </w:rPr>
        <w:t>设备模板定义设备类型对应的变量点表结构，便于同类设备批量实例化与统一管理。进入顶部「设备模板管理」，左侧为模板分类树，右侧为模板变量详情。</w:t>
      </w:r>
    </w:p>
    <w:p>
      <w:pPr>
        <w:keepNext/>
        <w:spacing w:before="120" w:after="40"/>
        <w:jc w:val="center"/>
        <w:ind w:firstLineChars="0" w:firstLine="0"/>
      </w:pPr>
      <w:r>
        <w:drawing>
          <wp:inline xmlns:a="http://schemas.openxmlformats.org/drawingml/2006/main" xmlns:pic="http://schemas.openxmlformats.org/drawingml/2006/picture">
            <wp:extent cx="5400000" cy="293378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-设备模板管理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9337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keepLines/>
        <w:spacing w:before="40" w:after="160" w:line="240" w:lineRule="auto"/>
        <w:jc w:val="center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1"/>
        </w:rPr>
        <w:t>图 4 设备模板管理页（26 个模板，按行业分类）</w:t>
      </w:r>
    </w:p>
    <w:p>
      <w:pPr>
        <w:spacing w:line="240" w:lineRule="auto" w:before="120" w:after="80"/>
        <w:jc w:val="center"/>
        <w:ind w:firstLineChars="0" w:firstLine="0"/>
      </w:pPr>
      <w:r>
        <w:rPr>
          <w:rFonts w:ascii="Arial" w:hAnsi="Arial" w:eastAsia="宋体"/>
          <w:b/>
          <w:i w:val="0"/>
          <w:color w:val="000000"/>
          <w:sz w:val="21"/>
        </w:rPr>
        <w:t>表 5-1 模板分类统计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8" w:color="808080"/>
          <w:left w:val="single" w:sz="8" w:color="808080"/>
          <w:bottom w:val="single" w:sz="8" w:color="808080"/>
          <w:right w:val="single" w:sz="8" w:color="808080"/>
          <w:insideH w:val="single" w:sz="4" w:color="808080"/>
          <w:insideV w:val="single" w:sz="4" w:color="808080"/>
        </w:tblBorders>
      </w:tblPr>
      <w:tblGrid>
        <w:gridCol w:w="3024"/>
        <w:gridCol w:w="3024"/>
        <w:gridCol w:w="3024"/>
      </w:tblGrid>
      <w:tr>
        <w:trPr>
          <w:cantSplit/>
          <w:tblHeader/>
        </w:trPr>
        <w:tc>
          <w:tcPr>
            <w:tcW w:type="dxa" w:w="3024"/>
            <w:vAlign w:val="center"/>
            <w:shd w:val="clear" w:color="auto" w:fill="D9D9D9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/>
                <w:i w:val="0"/>
                <w:color w:val="000000"/>
                <w:sz w:val="21"/>
              </w:rPr>
              <w:t>模板分类</w:t>
            </w:r>
          </w:p>
        </w:tc>
        <w:tc>
          <w:tcPr>
            <w:tcW w:type="dxa" w:w="3024"/>
            <w:vAlign w:val="center"/>
            <w:shd w:val="clear" w:color="auto" w:fill="D9D9D9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/>
                <w:i w:val="0"/>
                <w:color w:val="000000"/>
                <w:sz w:val="21"/>
              </w:rPr>
              <w:t>数量</w:t>
            </w:r>
          </w:p>
        </w:tc>
        <w:tc>
          <w:tcPr>
            <w:tcW w:type="dxa" w:w="3024"/>
            <w:vAlign w:val="center"/>
            <w:shd w:val="clear" w:color="auto" w:fill="D9D9D9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/>
                <w:i w:val="0"/>
                <w:color w:val="000000"/>
                <w:sz w:val="21"/>
              </w:rPr>
              <w:t>说明</w:t>
            </w:r>
          </w:p>
        </w:tc>
      </w:tr>
      <w:tr>
        <w:trPr>
          <w:cantSplit/>
        </w:trPr>
        <w:tc>
          <w:tcPr>
            <w:tcW w:type="dxa" w:w="3024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工业自动化 / 环境监测 / 交通运输 / 能源电力 / 石油化工 / 智慧工厂 / 智慧楼宇 / 智慧水务</w:t>
            </w:r>
          </w:p>
        </w:tc>
        <w:tc>
          <w:tcPr>
            <w:tcW w:type="dxa" w:w="3024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11</w:t>
            </w:r>
          </w:p>
        </w:tc>
        <w:tc>
          <w:tcPr>
            <w:tcW w:type="dxa" w:w="3024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按行业预置的通用设备模板</w:t>
            </w:r>
          </w:p>
        </w:tc>
      </w:tr>
      <w:tr>
        <w:trPr>
          <w:cantSplit/>
        </w:trPr>
        <w:tc>
          <w:tcPr>
            <w:tcW w:type="dxa" w:w="3024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自定义模板</w:t>
            </w:r>
          </w:p>
        </w:tc>
        <w:tc>
          <w:tcPr>
            <w:tcW w:type="dxa" w:w="3024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15</w:t>
            </w:r>
          </w:p>
        </w:tc>
        <w:tc>
          <w:tcPr>
            <w:tcW w:type="dxa" w:w="3024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用户自建模板</w:t>
            </w:r>
          </w:p>
        </w:tc>
      </w:tr>
      <w:tr>
        <w:trPr>
          <w:cantSplit/>
        </w:trPr>
        <w:tc>
          <w:tcPr>
            <w:tcW w:type="dxa" w:w="3024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PLC 控制器</w:t>
            </w:r>
          </w:p>
        </w:tc>
        <w:tc>
          <w:tcPr>
            <w:tcW w:type="dxa" w:w="3024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0</w:t>
            </w:r>
          </w:p>
        </w:tc>
        <w:tc>
          <w:tcPr>
            <w:tcW w:type="dxa" w:w="3024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预留 PLC 协议模板</w:t>
            </w:r>
          </w:p>
        </w:tc>
      </w:tr>
    </w:tbl>
    <w:p>
      <w:pPr>
        <w:spacing w:after="80" w:line="240" w:lineRule="auto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12"/>
        </w:rPr>
      </w:r>
    </w:p>
    <w:p>
      <w:pPr>
        <w:pStyle w:val="Heading2"/>
        <w:spacing w:before="220" w:after="100" w:line="240" w:lineRule="auto"/>
        <w:ind w:firstLineChars="0" w:firstLine="0"/>
      </w:pPr>
      <w:r>
        <w:rPr>
          <w:rFonts w:ascii="Arial" w:hAnsi="Arial" w:eastAsia="黑体"/>
          <w:b/>
          <w:i w:val="0"/>
          <w:color w:val="000000"/>
          <w:sz w:val="28"/>
        </w:rPr>
        <w:t>5.1 模板生命周期</w:t>
      </w:r>
    </w:p>
    <w:p>
      <w:pPr>
        <w:spacing w:line="360" w:lineRule="auto" w:before="0" w:after="0"/>
        <w:ind w:firstLine="480"/>
        <w:jc w:val="both"/>
      </w:pPr>
      <w:r>
        <w:rPr>
          <w:rFonts w:ascii="Arial" w:hAnsi="Arial" w:eastAsia="宋体"/>
          <w:b w:val="0"/>
          <w:i w:val="0"/>
          <w:color w:val="000000"/>
          <w:sz w:val="24"/>
        </w:rPr>
        <w:t>模板状态机：DRAFT（草稿）→ PUBLISHED（已发布）→ DEPRECATED（已弃用）。</w:t>
      </w:r>
    </w:p>
    <w:p>
      <w:pPr>
        <w:pStyle w:val="ListBullet"/>
        <w:spacing w:line="312" w:lineRule="auto" w:after="40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发布：草稿模板校验通过后发布，已发布模板仅允许修改名称/描述/标签。</w:t>
      </w:r>
    </w:p>
    <w:p>
      <w:pPr>
        <w:pStyle w:val="ListBullet"/>
        <w:spacing w:line="312" w:lineRule="auto" w:after="40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克隆：一键克隆模板，次版本号自动递增，新模板状态重置为草稿。</w:t>
      </w:r>
    </w:p>
    <w:p>
      <w:pPr>
        <w:pStyle w:val="ListBullet"/>
        <w:spacing w:line="312" w:lineRule="auto" w:after="40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弃用：已弃用模板阻止新设备应用，存量设备不受影响。</w:t>
      </w:r>
    </w:p>
    <w:p>
      <w:pPr>
        <w:pStyle w:val="ListBullet"/>
        <w:spacing w:line="312" w:lineRule="auto" w:after="40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应用到设备：将模板应用到单个设备，批量创建数据标签（40+ 字段映射）。</w:t>
      </w:r>
    </w:p>
    <w:p>
      <w:pPr>
        <w:pStyle w:val="ListBullet"/>
        <w:spacing w:line="312" w:lineRule="auto" w:after="40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批量同步：模板变更可同步到所有关联设备，支持 forceOverwrite 强制覆盖。</w:t>
      </w:r>
    </w:p>
    <w:p>
      <w:pPr>
        <w:pStyle w:val="Heading2"/>
        <w:spacing w:before="220" w:after="100" w:line="240" w:lineRule="auto"/>
        <w:ind w:firstLineChars="0" w:firstLine="0"/>
      </w:pPr>
      <w:r>
        <w:rPr>
          <w:rFonts w:ascii="Arial" w:hAnsi="Arial" w:eastAsia="黑体"/>
          <w:b/>
          <w:i w:val="0"/>
          <w:color w:val="000000"/>
          <w:sz w:val="28"/>
        </w:rPr>
        <w:t>5.2 数据标签管理</w:t>
      </w:r>
    </w:p>
    <w:p>
      <w:pPr>
        <w:spacing w:line="360" w:lineRule="auto" w:before="0" w:after="0"/>
        <w:ind w:firstLine="480"/>
        <w:jc w:val="both"/>
      </w:pPr>
      <w:r>
        <w:rPr>
          <w:rFonts w:ascii="Arial" w:hAnsi="Arial" w:eastAsia="宋体"/>
          <w:b w:val="0"/>
          <w:i w:val="0"/>
          <w:color w:val="000000"/>
          <w:sz w:val="24"/>
        </w:rPr>
        <w:t>数据标签（DataTag）是采集与绑定的最小数据单元，支持：</w:t>
      </w:r>
    </w:p>
    <w:p>
      <w:pPr>
        <w:spacing w:line="240" w:lineRule="auto" w:before="120" w:after="80"/>
        <w:jc w:val="center"/>
        <w:ind w:firstLineChars="0" w:firstLine="0"/>
      </w:pPr>
      <w:r>
        <w:rPr>
          <w:rFonts w:ascii="Arial" w:hAnsi="Arial" w:eastAsia="宋体"/>
          <w:b/>
          <w:i w:val="0"/>
          <w:color w:val="000000"/>
          <w:sz w:val="21"/>
        </w:rPr>
        <w:t>表 5-2 数据标签能力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8" w:color="808080"/>
          <w:left w:val="single" w:sz="8" w:color="808080"/>
          <w:bottom w:val="single" w:sz="8" w:color="808080"/>
          <w:right w:val="single" w:sz="8" w:color="808080"/>
          <w:insideH w:val="single" w:sz="4" w:color="808080"/>
          <w:insideV w:val="single" w:sz="4" w:color="808080"/>
        </w:tblBorders>
      </w:tblPr>
      <w:tblGrid>
        <w:gridCol w:w="4536"/>
        <w:gridCol w:w="4536"/>
      </w:tblGrid>
      <w:tr>
        <w:trPr>
          <w:cantSplit/>
          <w:tblHeader/>
        </w:trPr>
        <w:tc>
          <w:tcPr>
            <w:tcW w:type="dxa" w:w="4536"/>
            <w:vAlign w:val="center"/>
            <w:shd w:val="clear" w:color="auto" w:fill="D9D9D9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/>
                <w:i w:val="0"/>
                <w:color w:val="000000"/>
                <w:sz w:val="21"/>
              </w:rPr>
              <w:t>能力</w:t>
            </w:r>
          </w:p>
        </w:tc>
        <w:tc>
          <w:tcPr>
            <w:tcW w:type="dxa" w:w="4536"/>
            <w:vAlign w:val="center"/>
            <w:shd w:val="clear" w:color="auto" w:fill="D9D9D9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/>
                <w:i w:val="0"/>
                <w:color w:val="000000"/>
                <w:sz w:val="21"/>
              </w:rPr>
              <w:t>说明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8 种数据类型</w:t>
            </w:r>
          </w:p>
        </w:tc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Boolean / Int8 / UInt8 / Int16 / UInt16 / Int32 / UInt32 / Float32 / Float64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标签分组</w:t>
            </w:r>
          </w:p>
        </w:tc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按分组组织标签树形结构，最多 3 级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数据转换（4 种）</w:t>
            </w:r>
          </w:p>
        </w:tc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线性缩放（scale/offset）、多项式、查表、脚本转换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死区过滤（3 种）</w:t>
            </w:r>
          </w:p>
        </w:tc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绝对值死区、相对值死区、时间死区，减少无效写入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报警限值（5 级）</w:t>
            </w:r>
          </w:p>
        </w:tc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highHigh / high / low / lowLow / deviation（偏差）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质量检查</w:t>
            </w:r>
          </w:p>
        </w:tc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maxAge 超时自动标记 stale、量程合理性检查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批量导入导出</w:t>
            </w:r>
          </w:p>
        </w:tc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JSON / Excel 批量导入导出标签，支持字段映射</w:t>
            </w:r>
          </w:p>
        </w:tc>
      </w:tr>
    </w:tbl>
    <w:p>
      <w:pPr>
        <w:spacing w:after="80" w:line="240" w:lineRule="auto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12"/>
        </w:rPr>
      </w:r>
    </w:p>
    <w:p>
      <w:pPr>
        <w:spacing w:line="360" w:lineRule="auto" w:before="0" w:after="0"/>
        <w:ind w:firstLine="480"/>
        <w:jc w:val="both"/>
      </w:pPr>
      <w:r>
        <w:rPr>
          <w:rFonts w:ascii="Arial" w:hAnsi="Arial" w:eastAsia="宋体"/>
          <w:b w:val="0"/>
          <w:i w:val="0"/>
          <w:color w:val="000000"/>
          <w:sz w:val="24"/>
        </w:rPr>
        <w:t>标签地址与采集地址一致（如 Modbus 寄存器地址），转换与死区在采集管线的对应步骤执行，配置后实时生效。</w:t>
      </w:r>
    </w:p>
    <w:p>
      <w:pPr>
        <w:pStyle w:val="Heading1"/>
        <w:spacing w:before="280" w:after="120" w:line="240" w:lineRule="auto"/>
        <w:ind w:firstLineChars="0" w:firstLine="0"/>
      </w:pPr>
      <w:r>
        <w:rPr>
          <w:rFonts w:ascii="Arial" w:hAnsi="Arial" w:eastAsia="黑体"/>
          <w:b/>
          <w:i w:val="0"/>
          <w:color w:val="000000"/>
          <w:sz w:val="32"/>
        </w:rPr>
        <w:t>6. 采集管理</w:t>
      </w:r>
    </w:p>
    <w:p>
      <w:pPr>
        <w:spacing w:line="360" w:lineRule="auto" w:before="0" w:after="0"/>
        <w:ind w:firstLine="480"/>
        <w:jc w:val="both"/>
      </w:pPr>
      <w:r>
        <w:rPr>
          <w:rFonts w:ascii="Arial" w:hAnsi="Arial" w:eastAsia="宋体"/>
          <w:b w:val="0"/>
          <w:i w:val="0"/>
          <w:color w:val="000000"/>
          <w:sz w:val="24"/>
        </w:rPr>
        <w:t>采集管理以插件卡片形式展示全部采集插件及其运行状态，支持「重新发现」「健康检查」与单插件启停/重启/监控。进入顶部「采集管理」。</w:t>
      </w:r>
    </w:p>
    <w:p>
      <w:pPr>
        <w:keepNext/>
        <w:spacing w:before="120" w:after="40"/>
        <w:jc w:val="center"/>
        <w:ind w:firstLineChars="0" w:firstLine="0"/>
      </w:pPr>
      <w:r>
        <w:drawing>
          <wp:inline xmlns:a="http://schemas.openxmlformats.org/drawingml/2006/main" xmlns:pic="http://schemas.openxmlformats.org/drawingml/2006/picture">
            <wp:extent cx="5400000" cy="293378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-采集管理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9337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keepLines/>
        <w:spacing w:before="40" w:after="160" w:line="240" w:lineRule="auto"/>
        <w:jc w:val="center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1"/>
        </w:rPr>
        <w:t>图 5 采集管理页（7 个采集插件）</w:t>
      </w:r>
    </w:p>
    <w:p>
      <w:pPr>
        <w:spacing w:line="240" w:lineRule="auto" w:before="120" w:after="80"/>
        <w:jc w:val="center"/>
        <w:ind w:firstLineChars="0" w:firstLine="0"/>
      </w:pPr>
      <w:r>
        <w:rPr>
          <w:rFonts w:ascii="Arial" w:hAnsi="Arial" w:eastAsia="宋体"/>
          <w:b/>
          <w:i w:val="0"/>
          <w:color w:val="000000"/>
          <w:sz w:val="21"/>
        </w:rPr>
        <w:t>表 6-1 采集插件列表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8" w:color="808080"/>
          <w:left w:val="single" w:sz="8" w:color="808080"/>
          <w:bottom w:val="single" w:sz="8" w:color="808080"/>
          <w:right w:val="single" w:sz="8" w:color="808080"/>
          <w:insideH w:val="single" w:sz="4" w:color="808080"/>
          <w:insideV w:val="single" w:sz="4" w:color="808080"/>
        </w:tblBorders>
      </w:tblPr>
      <w:tblGrid>
        <w:gridCol w:w="2268"/>
        <w:gridCol w:w="2268"/>
        <w:gridCol w:w="2268"/>
        <w:gridCol w:w="2268"/>
      </w:tblGrid>
      <w:tr>
        <w:trPr>
          <w:cantSplit/>
          <w:tblHeader/>
        </w:trPr>
        <w:tc>
          <w:tcPr>
            <w:tcW w:type="dxa" w:w="2268"/>
            <w:vAlign w:val="center"/>
            <w:shd w:val="clear" w:color="auto" w:fill="D9D9D9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/>
                <w:i w:val="0"/>
                <w:color w:val="000000"/>
                <w:sz w:val="21"/>
              </w:rPr>
              <w:t>插件</w:t>
            </w:r>
          </w:p>
        </w:tc>
        <w:tc>
          <w:tcPr>
            <w:tcW w:type="dxa" w:w="2268"/>
            <w:vAlign w:val="center"/>
            <w:shd w:val="clear" w:color="auto" w:fill="D9D9D9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/>
                <w:i w:val="0"/>
                <w:color w:val="000000"/>
                <w:sz w:val="21"/>
              </w:rPr>
              <w:t>协议标识</w:t>
            </w:r>
          </w:p>
        </w:tc>
        <w:tc>
          <w:tcPr>
            <w:tcW w:type="dxa" w:w="2268"/>
            <w:vAlign w:val="center"/>
            <w:shd w:val="clear" w:color="auto" w:fill="D9D9D9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/>
                <w:i w:val="0"/>
                <w:color w:val="000000"/>
                <w:sz w:val="21"/>
              </w:rPr>
              <w:t>状态</w:t>
            </w:r>
          </w:p>
        </w:tc>
        <w:tc>
          <w:tcPr>
            <w:tcW w:type="dxa" w:w="2268"/>
            <w:vAlign w:val="center"/>
            <w:shd w:val="clear" w:color="auto" w:fill="D9D9D9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/>
                <w:i w:val="0"/>
                <w:color w:val="000000"/>
                <w:sz w:val="21"/>
              </w:rPr>
              <w:t>说明</w:t>
            </w:r>
          </w:p>
        </w:tc>
      </w:tr>
      <w:tr>
        <w:trPr>
          <w:cantSplit/>
        </w:trPr>
        <w:tc>
          <w:tcPr>
            <w:tcW w:type="dxa" w:w="2268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Modbus TCP</w:t>
            </w:r>
          </w:p>
        </w:tc>
        <w:tc>
          <w:tcPr>
            <w:tcW w:type="dxa" w:w="2268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modbus_tcp</w:t>
            </w:r>
          </w:p>
        </w:tc>
        <w:tc>
          <w:tcPr>
            <w:tcW w:type="dxa" w:w="2268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已激活</w:t>
            </w:r>
          </w:p>
        </w:tc>
        <w:tc>
          <w:tcPr>
            <w:tcW w:type="dxa" w:w="2268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工业总线，传输层 tcp，进程内隔离</w:t>
            </w:r>
          </w:p>
        </w:tc>
      </w:tr>
      <w:tr>
        <w:trPr>
          <w:cantSplit/>
        </w:trPr>
        <w:tc>
          <w:tcPr>
            <w:tcW w:type="dxa" w:w="2268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Modbus RTU</w:t>
            </w:r>
          </w:p>
        </w:tc>
        <w:tc>
          <w:tcPr>
            <w:tcW w:type="dxa" w:w="2268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modbus_rtu</w:t>
            </w:r>
          </w:p>
        </w:tc>
        <w:tc>
          <w:tcPr>
            <w:tcW w:type="dxa" w:w="2268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已注册</w:t>
            </w:r>
          </w:p>
        </w:tc>
        <w:tc>
          <w:tcPr>
            <w:tcW w:type="dxa" w:w="2268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工业总线，传输层 serial（RS232/RS485）</w:t>
            </w:r>
          </w:p>
        </w:tc>
      </w:tr>
      <w:tr>
        <w:trPr>
          <w:cantSplit/>
        </w:trPr>
        <w:tc>
          <w:tcPr>
            <w:tcW w:type="dxa" w:w="2268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Siemens S7</w:t>
            </w:r>
          </w:p>
        </w:tc>
        <w:tc>
          <w:tcPr>
            <w:tcW w:type="dxa" w:w="2268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siemens_s7</w:t>
            </w:r>
          </w:p>
        </w:tc>
        <w:tc>
          <w:tcPr>
            <w:tcW w:type="dxa" w:w="2268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已注册</w:t>
            </w:r>
          </w:p>
        </w:tc>
        <w:tc>
          <w:tcPr>
            <w:tcW w:type="dxa" w:w="2268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西门子 PLC，DB 块读写 + ISO-on-TCP</w:t>
            </w:r>
          </w:p>
        </w:tc>
      </w:tr>
      <w:tr>
        <w:trPr>
          <w:cantSplit/>
        </w:trPr>
        <w:tc>
          <w:tcPr>
            <w:tcW w:type="dxa" w:w="2268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Virtual Device</w:t>
            </w:r>
          </w:p>
        </w:tc>
        <w:tc>
          <w:tcPr>
            <w:tcW w:type="dxa" w:w="2268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virtual</w:t>
            </w:r>
          </w:p>
        </w:tc>
        <w:tc>
          <w:tcPr>
            <w:tcW w:type="dxa" w:w="2268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已激活</w:t>
            </w:r>
          </w:p>
        </w:tc>
        <w:tc>
          <w:tcPr>
            <w:tcW w:type="dxa" w:w="2268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虚拟仿真采集（演示项目使用），子进程隔离，41 万+ 次读取</w:t>
            </w:r>
          </w:p>
        </w:tc>
      </w:tr>
      <w:tr>
        <w:trPr>
          <w:cantSplit/>
        </w:trPr>
        <w:tc>
          <w:tcPr>
            <w:tcW w:type="dxa" w:w="2268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计算变量</w:t>
            </w:r>
          </w:p>
        </w:tc>
        <w:tc>
          <w:tcPr>
            <w:tcW w:type="dxa" w:w="2268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calc</w:t>
            </w:r>
          </w:p>
        </w:tc>
        <w:tc>
          <w:tcPr>
            <w:tcW w:type="dxa" w:w="2268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已激活</w:t>
            </w:r>
          </w:p>
        </w:tc>
        <w:tc>
          <w:tcPr>
            <w:tcW w:type="dxa" w:w="2268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内置计算表达式变量</w:t>
            </w:r>
          </w:p>
        </w:tc>
      </w:tr>
      <w:tr>
        <w:trPr>
          <w:cantSplit/>
        </w:trPr>
        <w:tc>
          <w:tcPr>
            <w:tcW w:type="dxa" w:w="2268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MQTT</w:t>
            </w:r>
          </w:p>
        </w:tc>
        <w:tc>
          <w:tcPr>
            <w:tcW w:type="dxa" w:w="2268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mqtt</w:t>
            </w:r>
          </w:p>
        </w:tc>
        <w:tc>
          <w:tcPr>
            <w:tcW w:type="dxa" w:w="2268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已激活</w:t>
            </w:r>
          </w:p>
        </w:tc>
        <w:tc>
          <w:tcPr>
            <w:tcW w:type="dxa" w:w="2268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物联网消息协议（QoS 0/1/2、遗嘱消息、通配符订阅），子进程隔离</w:t>
            </w:r>
          </w:p>
        </w:tc>
      </w:tr>
      <w:tr>
        <w:trPr>
          <w:cantSplit/>
        </w:trPr>
        <w:tc>
          <w:tcPr>
            <w:tcW w:type="dxa" w:w="2268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OPC UA</w:t>
            </w:r>
          </w:p>
        </w:tc>
        <w:tc>
          <w:tcPr>
            <w:tcW w:type="dxa" w:w="2268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opc_ua</w:t>
            </w:r>
          </w:p>
        </w:tc>
        <w:tc>
          <w:tcPr>
            <w:tcW w:type="dxa" w:w="2268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已注册</w:t>
            </w:r>
          </w:p>
        </w:tc>
        <w:tc>
          <w:tcPr>
            <w:tcW w:type="dxa" w:w="2268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工业互联标准协议，证书管理 + 订阅式采集</w:t>
            </w:r>
          </w:p>
        </w:tc>
      </w:tr>
    </w:tbl>
    <w:p>
      <w:pPr>
        <w:spacing w:after="80" w:line="240" w:lineRule="auto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12"/>
        </w:rPr>
      </w:r>
    </w:p>
    <w:p>
      <w:pPr>
        <w:pStyle w:val="ListBullet"/>
        <w:spacing w:line="312" w:lineRule="auto" w:after="40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每张插件卡片展示：版本、协议、分类、传输层、隔离模式（进程内/子进程）、进程号、活跃连接、总读取次数、错误次数、平均响应时间、在线/离线统计。</w:t>
      </w:r>
    </w:p>
    <w:p>
      <w:pPr>
        <w:pStyle w:val="ListBullet"/>
        <w:spacing w:line="312" w:lineRule="auto" w:after="40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操作按钮：停用 / 激活、重启插件、监控（打开插件运行监控）、更多。</w:t>
      </w:r>
    </w:p>
    <w:p>
      <w:pPr>
        <w:pStyle w:val="Heading2"/>
        <w:spacing w:before="220" w:after="100" w:line="240" w:lineRule="auto"/>
        <w:ind w:firstLineChars="0" w:firstLine="0"/>
      </w:pPr>
      <w:r>
        <w:rPr>
          <w:rFonts w:ascii="Arial" w:hAnsi="Arial" w:eastAsia="黑体"/>
          <w:b/>
          <w:i w:val="0"/>
          <w:color w:val="000000"/>
          <w:sz w:val="28"/>
        </w:rPr>
        <w:t>6.1 采集数据管线（8 步 Pipeline）</w:t>
      </w:r>
    </w:p>
    <w:p>
      <w:pPr>
        <w:spacing w:line="360" w:lineRule="auto" w:before="0" w:after="0"/>
        <w:ind w:firstLine="480"/>
        <w:jc w:val="both"/>
      </w:pPr>
      <w:r>
        <w:rPr>
          <w:rFonts w:ascii="Arial" w:hAnsi="Arial" w:eastAsia="宋体"/>
          <w:b w:val="0"/>
          <w:i w:val="0"/>
          <w:color w:val="000000"/>
          <w:sz w:val="24"/>
        </w:rPr>
        <w:t>每条数据依次经过：协议读取 → 类型转换 → 数据变换 → 死区过滤 → 质量检查 → 报警检测 → 实时缓存 → 双写持久化（SQLite 快照 + InfluxDB）→ WebSocket 推送。</w:t>
      </w:r>
    </w:p>
    <w:p>
      <w:pPr>
        <w:pStyle w:val="Heading2"/>
        <w:spacing w:before="220" w:after="100" w:line="240" w:lineRule="auto"/>
        <w:ind w:firstLineChars="0" w:firstLine="0"/>
      </w:pPr>
      <w:r>
        <w:rPr>
          <w:rFonts w:ascii="Arial" w:hAnsi="Arial" w:eastAsia="黑体"/>
          <w:b/>
          <w:i w:val="0"/>
          <w:color w:val="000000"/>
          <w:sz w:val="28"/>
        </w:rPr>
        <w:t>6.2 数据质量标记</w:t>
      </w:r>
    </w:p>
    <w:p>
      <w:pPr>
        <w:spacing w:line="360" w:lineRule="auto" w:before="0" w:after="0"/>
        <w:ind w:firstLine="480"/>
        <w:jc w:val="both"/>
      </w:pPr>
      <w:r>
        <w:rPr>
          <w:rFonts w:ascii="Arial" w:hAnsi="Arial" w:eastAsia="宋体"/>
          <w:b w:val="0"/>
          <w:i w:val="0"/>
          <w:color w:val="000000"/>
          <w:sz w:val="24"/>
        </w:rPr>
        <w:t>系统自动为每条数据标记质量码，界面与报表可据此识别数据可信度：</w:t>
      </w:r>
    </w:p>
    <w:p>
      <w:pPr>
        <w:spacing w:line="240" w:lineRule="auto" w:before="120" w:after="80"/>
        <w:jc w:val="center"/>
        <w:ind w:firstLineChars="0" w:firstLine="0"/>
      </w:pPr>
      <w:r>
        <w:rPr>
          <w:rFonts w:ascii="Arial" w:hAnsi="Arial" w:eastAsia="宋体"/>
          <w:b/>
          <w:i w:val="0"/>
          <w:color w:val="000000"/>
          <w:sz w:val="21"/>
        </w:rPr>
        <w:t>表 6-2 数据质量标记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8" w:color="808080"/>
          <w:left w:val="single" w:sz="8" w:color="808080"/>
          <w:bottom w:val="single" w:sz="8" w:color="808080"/>
          <w:right w:val="single" w:sz="8" w:color="808080"/>
          <w:insideH w:val="single" w:sz="4" w:color="808080"/>
          <w:insideV w:val="single" w:sz="4" w:color="808080"/>
        </w:tblBorders>
      </w:tblPr>
      <w:tblGrid>
        <w:gridCol w:w="3024"/>
        <w:gridCol w:w="3024"/>
        <w:gridCol w:w="3024"/>
      </w:tblGrid>
      <w:tr>
        <w:trPr>
          <w:cantSplit/>
          <w:tblHeader/>
        </w:trPr>
        <w:tc>
          <w:tcPr>
            <w:tcW w:type="dxa" w:w="3024"/>
            <w:vAlign w:val="center"/>
            <w:shd w:val="clear" w:color="auto" w:fill="D9D9D9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/>
                <w:i w:val="0"/>
                <w:color w:val="000000"/>
                <w:sz w:val="21"/>
              </w:rPr>
              <w:t>质量码</w:t>
            </w:r>
          </w:p>
        </w:tc>
        <w:tc>
          <w:tcPr>
            <w:tcW w:type="dxa" w:w="3024"/>
            <w:vAlign w:val="center"/>
            <w:shd w:val="clear" w:color="auto" w:fill="D9D9D9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/>
                <w:i w:val="0"/>
                <w:color w:val="000000"/>
                <w:sz w:val="21"/>
              </w:rPr>
              <w:t>含义</w:t>
            </w:r>
          </w:p>
        </w:tc>
        <w:tc>
          <w:tcPr>
            <w:tcW w:type="dxa" w:w="3024"/>
            <w:vAlign w:val="center"/>
            <w:shd w:val="clear" w:color="auto" w:fill="D9D9D9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/>
                <w:i w:val="0"/>
                <w:color w:val="000000"/>
                <w:sz w:val="21"/>
              </w:rPr>
              <w:t>触发场景</w:t>
            </w:r>
          </w:p>
        </w:tc>
      </w:tr>
      <w:tr>
        <w:trPr>
          <w:cantSplit/>
        </w:trPr>
        <w:tc>
          <w:tcPr>
            <w:tcW w:type="dxa" w:w="3024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good</w:t>
            </w:r>
          </w:p>
        </w:tc>
        <w:tc>
          <w:tcPr>
            <w:tcW w:type="dxa" w:w="3024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数据有效</w:t>
            </w:r>
          </w:p>
        </w:tc>
        <w:tc>
          <w:tcPr>
            <w:tcW w:type="dxa" w:w="3024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正常采集</w:t>
            </w:r>
          </w:p>
        </w:tc>
      </w:tr>
      <w:tr>
        <w:trPr>
          <w:cantSplit/>
        </w:trPr>
        <w:tc>
          <w:tcPr>
            <w:tcW w:type="dxa" w:w="3024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bad</w:t>
            </w:r>
          </w:p>
        </w:tc>
        <w:tc>
          <w:tcPr>
            <w:tcW w:type="dxa" w:w="3024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数据无效</w:t>
            </w:r>
          </w:p>
        </w:tc>
        <w:tc>
          <w:tcPr>
            <w:tcW w:type="dxa" w:w="3024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违反业务规则 / 量程外</w:t>
            </w:r>
          </w:p>
        </w:tc>
      </w:tr>
      <w:tr>
        <w:trPr>
          <w:cantSplit/>
        </w:trPr>
        <w:tc>
          <w:tcPr>
            <w:tcW w:type="dxa" w:w="3024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stale</w:t>
            </w:r>
          </w:p>
        </w:tc>
        <w:tc>
          <w:tcPr>
            <w:tcW w:type="dxa" w:w="3024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数据陈旧</w:t>
            </w:r>
          </w:p>
        </w:tc>
        <w:tc>
          <w:tcPr>
            <w:tcW w:type="dxa" w:w="3024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超过 maxAge 未更新</w:t>
            </w:r>
          </w:p>
        </w:tc>
      </w:tr>
      <w:tr>
        <w:trPr>
          <w:cantSplit/>
        </w:trPr>
        <w:tc>
          <w:tcPr>
            <w:tcW w:type="dxa" w:w="3024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comm_error</w:t>
            </w:r>
          </w:p>
        </w:tc>
        <w:tc>
          <w:tcPr>
            <w:tcW w:type="dxa" w:w="3024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通信错误</w:t>
            </w:r>
          </w:p>
        </w:tc>
        <w:tc>
          <w:tcPr>
            <w:tcW w:type="dxa" w:w="3024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协议读取失败</w:t>
            </w:r>
          </w:p>
        </w:tc>
      </w:tr>
      <w:tr>
        <w:trPr>
          <w:cantSplit/>
        </w:trPr>
        <w:tc>
          <w:tcPr>
            <w:tcW w:type="dxa" w:w="3024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out_of_range</w:t>
            </w:r>
          </w:p>
        </w:tc>
        <w:tc>
          <w:tcPr>
            <w:tcW w:type="dxa" w:w="3024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超量程</w:t>
            </w:r>
          </w:p>
        </w:tc>
        <w:tc>
          <w:tcPr>
            <w:tcW w:type="dxa" w:w="3024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超过标签 min/max 量程</w:t>
            </w:r>
          </w:p>
        </w:tc>
      </w:tr>
    </w:tbl>
    <w:p>
      <w:pPr>
        <w:spacing w:after="80" w:line="240" w:lineRule="auto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12"/>
        </w:rPr>
      </w:r>
    </w:p>
    <w:p>
      <w:pPr>
        <w:pStyle w:val="Heading2"/>
        <w:spacing w:before="220" w:after="100" w:line="240" w:lineRule="auto"/>
        <w:ind w:firstLineChars="0" w:firstLine="0"/>
      </w:pPr>
      <w:r>
        <w:rPr>
          <w:rFonts w:ascii="Arial" w:hAnsi="Arial" w:eastAsia="黑体"/>
          <w:b/>
          <w:i w:val="0"/>
          <w:color w:val="000000"/>
          <w:sz w:val="28"/>
        </w:rPr>
        <w:t>6.3 虚拟采集插件</w:t>
      </w:r>
    </w:p>
    <w:p>
      <w:pPr>
        <w:spacing w:line="360" w:lineRule="auto" w:before="0" w:after="0"/>
        <w:ind w:firstLine="480"/>
        <w:jc w:val="both"/>
      </w:pPr>
      <w:r>
        <w:rPr>
          <w:rFonts w:ascii="Arial" w:hAnsi="Arial" w:eastAsia="宋体"/>
          <w:b w:val="0"/>
          <w:i w:val="0"/>
          <w:color w:val="000000"/>
          <w:sz w:val="24"/>
        </w:rPr>
        <w:t>支持 5 种仿真器（固定值 / 范围渐变 / 枚举 / 布尔 / 字符串），用于演示、培训与链路验证。</w:t>
      </w:r>
    </w:p>
    <w:p>
      <w:pPr>
        <w:pStyle w:val="Heading2"/>
        <w:spacing w:before="220" w:after="100" w:line="240" w:lineRule="auto"/>
        <w:ind w:firstLineChars="0" w:firstLine="0"/>
      </w:pPr>
      <w:r>
        <w:rPr>
          <w:rFonts w:ascii="Arial" w:hAnsi="Arial" w:eastAsia="黑体"/>
          <w:b/>
          <w:i w:val="0"/>
          <w:color w:val="000000"/>
          <w:sz w:val="28"/>
        </w:rPr>
        <w:t>6.4 WebSocket 实时推送</w:t>
      </w:r>
    </w:p>
    <w:p>
      <w:pPr>
        <w:spacing w:line="360" w:lineRule="auto" w:before="0" w:after="0"/>
        <w:ind w:firstLine="480"/>
        <w:jc w:val="both"/>
      </w:pPr>
      <w:r>
        <w:rPr>
          <w:rFonts w:ascii="Arial" w:hAnsi="Arial" w:eastAsia="宋体"/>
          <w:b w:val="0"/>
          <w:i w:val="0"/>
          <w:color w:val="000000"/>
          <w:sz w:val="24"/>
        </w:rPr>
        <w:t>实时数据通过 Socket.IO + JWT 认证推送至前端：按 project:{projectId} 房间隔离数据流，心跳 25 秒，断线自动重连并补发离线消息缓存，最大连接数可配置。</w:t>
      </w:r>
    </w:p>
    <w:p>
      <w:pPr>
        <w:spacing w:line="360" w:lineRule="auto" w:before="0" w:after="0"/>
        <w:ind w:firstLine="480"/>
        <w:jc w:val="both"/>
      </w:pPr>
      <w:r>
        <w:rPr>
          <w:rFonts w:ascii="Arial" w:hAnsi="Arial" w:eastAsia="宋体"/>
          <w:b w:val="0"/>
          <w:i w:val="0"/>
          <w:color w:val="000000"/>
          <w:sz w:val="24"/>
        </w:rPr>
        <w:t>采集引擎为插件化热插拔架构：调度层（优先级排序、并发控制、熔断器、背压降频）＋ 管线层（读取 → 转换 → 死区 → 质量 → 报警 → 缓存 → 持久化 → 发布）＋ 执行层（统一协议适配接口，崩溃自动恢复）。</w:t>
      </w:r>
    </w:p>
    <w:p>
      <w:pPr>
        <w:pStyle w:val="Heading1"/>
        <w:spacing w:before="280" w:after="120" w:line="240" w:lineRule="auto"/>
        <w:ind w:firstLineChars="0" w:firstLine="0"/>
      </w:pPr>
      <w:r>
        <w:rPr>
          <w:rFonts w:ascii="Arial" w:hAnsi="Arial" w:eastAsia="黑体"/>
          <w:b/>
          <w:i w:val="0"/>
          <w:color w:val="000000"/>
          <w:sz w:val="32"/>
        </w:rPr>
        <w:t>7. 事件中心（告警）</w:t>
      </w:r>
    </w:p>
    <w:p>
      <w:pPr>
        <w:spacing w:line="360" w:lineRule="auto" w:before="0" w:after="0"/>
        <w:ind w:firstLine="480"/>
        <w:jc w:val="both"/>
      </w:pPr>
      <w:r>
        <w:rPr>
          <w:rFonts w:ascii="Arial" w:hAnsi="Arial" w:eastAsia="宋体"/>
          <w:b w:val="0"/>
          <w:i w:val="0"/>
          <w:color w:val="000000"/>
          <w:sz w:val="24"/>
        </w:rPr>
        <w:t>事件中心用于报警规则配置、实时告警查看与历史告警追溯。进入顶部「事件中心」，包含「实时事件」与「历史事件」，页面顶部显示活跃报警数量与「报警统计分析」。</w:t>
      </w:r>
    </w:p>
    <w:p>
      <w:pPr>
        <w:keepNext/>
        <w:spacing w:before="120" w:after="40"/>
        <w:jc w:val="center"/>
        <w:ind w:firstLineChars="0" w:firstLine="0"/>
      </w:pPr>
      <w:r>
        <w:drawing>
          <wp:inline xmlns:a="http://schemas.openxmlformats.org/drawingml/2006/main" xmlns:pic="http://schemas.openxmlformats.org/drawingml/2006/picture">
            <wp:extent cx="5400000" cy="293378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-事件中心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9337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keepLines/>
        <w:spacing w:before="40" w:after="160" w:line="240" w:lineRule="auto"/>
        <w:jc w:val="center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1"/>
        </w:rPr>
        <w:t>图 6 事件中心-历史事件页（49 条活跃报警，超限告警示例）</w:t>
      </w:r>
    </w:p>
    <w:p>
      <w:pPr>
        <w:pStyle w:val="Heading2"/>
        <w:spacing w:before="220" w:after="100" w:line="240" w:lineRule="auto"/>
        <w:ind w:firstLineChars="0" w:firstLine="0"/>
      </w:pPr>
      <w:r>
        <w:rPr>
          <w:rFonts w:ascii="Arial" w:hAnsi="Arial" w:eastAsia="黑体"/>
          <w:b/>
          <w:i w:val="0"/>
          <w:color w:val="000000"/>
          <w:sz w:val="28"/>
        </w:rPr>
        <w:t>7.1 告警筛选</w:t>
      </w:r>
    </w:p>
    <w:p>
      <w:pPr>
        <w:pStyle w:val="ListBullet"/>
        <w:spacing w:line="312" w:lineRule="auto" w:after="40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级别：信息 / 警告 / 错误 / 严重（编辑器侧 5 级：紧急/严重/高/中/低）。</w:t>
      </w:r>
    </w:p>
    <w:p>
      <w:pPr>
        <w:pStyle w:val="ListBullet"/>
        <w:spacing w:line="312" w:lineRule="auto" w:after="40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状态：活跃 / 已确认 / 已清除。</w:t>
      </w:r>
    </w:p>
    <w:p>
      <w:pPr>
        <w:pStyle w:val="ListBullet"/>
        <w:spacing w:line="312" w:lineRule="auto" w:after="40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告警类型：设备告警 / 通信告警 / 超限告警 / 数据告警 / 安全告警 / 电力告警 / 工艺告警 / 环境告警 / 系统告警 / 安防告警 / 自定义告警。</w:t>
      </w:r>
    </w:p>
    <w:p>
      <w:pPr>
        <w:pStyle w:val="ListBullet"/>
        <w:spacing w:line="312" w:lineRule="auto" w:after="40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处置类型：告警触发 / 告警恢复 等；支持关键词搜索与日期范围。</w:t>
      </w:r>
    </w:p>
    <w:p>
      <w:pPr>
        <w:pStyle w:val="Heading2"/>
        <w:spacing w:before="220" w:after="100" w:line="240" w:lineRule="auto"/>
        <w:ind w:firstLineChars="0" w:firstLine="0"/>
      </w:pPr>
      <w:r>
        <w:rPr>
          <w:rFonts w:ascii="Arial" w:hAnsi="Arial" w:eastAsia="黑体"/>
          <w:b/>
          <w:i w:val="0"/>
          <w:color w:val="000000"/>
          <w:sz w:val="28"/>
        </w:rPr>
        <w:t>7.2 告警记录</w:t>
      </w:r>
    </w:p>
    <w:p>
      <w:pPr>
        <w:spacing w:line="360" w:lineRule="auto" w:before="0" w:after="0"/>
        <w:ind w:firstLine="480"/>
        <w:jc w:val="both"/>
      </w:pPr>
      <w:r>
        <w:rPr>
          <w:rFonts w:ascii="Arial" w:hAnsi="Arial" w:eastAsia="宋体"/>
          <w:b w:val="0"/>
          <w:i w:val="0"/>
          <w:color w:val="000000"/>
          <w:sz w:val="24"/>
        </w:rPr>
        <w:t>每条记录包含：时间、设备、变量、规则、级别、告警类型、处置类型、触发值、消息、状态、恢复时间与操作（确认 / 清除 / 数据）。示例告警：</w:t>
      </w:r>
    </w:p>
    <w:p>
      <w:pPr>
        <w:spacing w:line="240" w:lineRule="auto" w:before="120" w:after="80"/>
        <w:jc w:val="center"/>
        <w:ind w:firstLineChars="0" w:firstLine="0"/>
      </w:pPr>
      <w:r>
        <w:rPr>
          <w:rFonts w:ascii="Arial" w:hAnsi="Arial" w:eastAsia="宋体"/>
          <w:b/>
          <w:i w:val="0"/>
          <w:color w:val="000000"/>
          <w:sz w:val="21"/>
        </w:rPr>
        <w:t>表 7-1 告警记录示例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8" w:color="808080"/>
          <w:left w:val="single" w:sz="8" w:color="808080"/>
          <w:bottom w:val="single" w:sz="8" w:color="808080"/>
          <w:right w:val="single" w:sz="8" w:color="808080"/>
          <w:insideH w:val="single" w:sz="4" w:color="808080"/>
          <w:insideV w:val="single" w:sz="4" w:color="808080"/>
        </w:tblBorders>
      </w:tblPr>
      <w:tblGrid>
        <w:gridCol w:w="1814"/>
        <w:gridCol w:w="1814"/>
        <w:gridCol w:w="1814"/>
        <w:gridCol w:w="1814"/>
        <w:gridCol w:w="1814"/>
      </w:tblGrid>
      <w:tr>
        <w:trPr>
          <w:cantSplit/>
          <w:tblHeader/>
        </w:trPr>
        <w:tc>
          <w:tcPr>
            <w:tcW w:type="dxa" w:w="1814"/>
            <w:vAlign w:val="center"/>
            <w:shd w:val="clear" w:color="auto" w:fill="D9D9D9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/>
                <w:i w:val="0"/>
                <w:color w:val="000000"/>
                <w:sz w:val="21"/>
              </w:rPr>
              <w:t>设备</w:t>
            </w:r>
          </w:p>
        </w:tc>
        <w:tc>
          <w:tcPr>
            <w:tcW w:type="dxa" w:w="1814"/>
            <w:vAlign w:val="center"/>
            <w:shd w:val="clear" w:color="auto" w:fill="D9D9D9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/>
                <w:i w:val="0"/>
                <w:color w:val="000000"/>
                <w:sz w:val="21"/>
              </w:rPr>
              <w:t>变量</w:t>
            </w:r>
          </w:p>
        </w:tc>
        <w:tc>
          <w:tcPr>
            <w:tcW w:type="dxa" w:w="1814"/>
            <w:vAlign w:val="center"/>
            <w:shd w:val="clear" w:color="auto" w:fill="D9D9D9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/>
                <w:i w:val="0"/>
                <w:color w:val="000000"/>
                <w:sz w:val="21"/>
              </w:rPr>
              <w:t>级别</w:t>
            </w:r>
          </w:p>
        </w:tc>
        <w:tc>
          <w:tcPr>
            <w:tcW w:type="dxa" w:w="1814"/>
            <w:vAlign w:val="center"/>
            <w:shd w:val="clear" w:color="auto" w:fill="D9D9D9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/>
                <w:i w:val="0"/>
                <w:color w:val="000000"/>
                <w:sz w:val="21"/>
              </w:rPr>
              <w:t>消息</w:t>
            </w:r>
          </w:p>
        </w:tc>
        <w:tc>
          <w:tcPr>
            <w:tcW w:type="dxa" w:w="1814"/>
            <w:vAlign w:val="center"/>
            <w:shd w:val="clear" w:color="auto" w:fill="D9D9D9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/>
                <w:i w:val="0"/>
                <w:color w:val="000000"/>
                <w:sz w:val="21"/>
              </w:rPr>
              <w:t>触发值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引风机A</w:t>
            </w:r>
          </w:p>
        </w:tc>
        <w:tc>
          <w:tcPr>
            <w:tcW w:type="dxa" w:w="1814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频率</w:t>
            </w:r>
          </w:p>
        </w:tc>
        <w:tc>
          <w:tcPr>
            <w:tcW w:type="dxa" w:w="1814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警告</w:t>
            </w:r>
          </w:p>
        </w:tc>
        <w:tc>
          <w:tcPr>
            <w:tcW w:type="dxa" w:w="1814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[警告] 频率 超过上限55.00, 当前值: 66.61</w:t>
            </w:r>
          </w:p>
        </w:tc>
        <w:tc>
          <w:tcPr>
            <w:tcW w:type="dxa" w:w="1814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66.61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送风机B</w:t>
            </w:r>
          </w:p>
        </w:tc>
        <w:tc>
          <w:tcPr>
            <w:tcW w:type="dxa" w:w="1814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出口压力</w:t>
            </w:r>
          </w:p>
        </w:tc>
        <w:tc>
          <w:tcPr>
            <w:tcW w:type="dxa" w:w="1814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警告</w:t>
            </w:r>
          </w:p>
        </w:tc>
        <w:tc>
          <w:tcPr>
            <w:tcW w:type="dxa" w:w="1814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[警告] 出口压力 低于下限5, 当前值: 0.82</w:t>
            </w:r>
          </w:p>
        </w:tc>
        <w:tc>
          <w:tcPr>
            <w:tcW w:type="dxa" w:w="1814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0.82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暖风机A</w:t>
            </w:r>
          </w:p>
        </w:tc>
        <w:tc>
          <w:tcPr>
            <w:tcW w:type="dxa" w:w="1814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压差</w:t>
            </w:r>
          </w:p>
        </w:tc>
        <w:tc>
          <w:tcPr>
            <w:tcW w:type="dxa" w:w="1814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警告</w:t>
            </w:r>
          </w:p>
        </w:tc>
        <w:tc>
          <w:tcPr>
            <w:tcW w:type="dxa" w:w="1814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[警告] 压差 超过上限55.00, 当前值: 56.75</w:t>
            </w:r>
          </w:p>
        </w:tc>
        <w:tc>
          <w:tcPr>
            <w:tcW w:type="dxa" w:w="1814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56.75</w:t>
            </w:r>
          </w:p>
        </w:tc>
      </w:tr>
    </w:tbl>
    <w:p>
      <w:pPr>
        <w:spacing w:after="80" w:line="240" w:lineRule="auto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12"/>
        </w:rPr>
      </w:r>
    </w:p>
    <w:p>
      <w:pPr>
        <w:pStyle w:val="Heading2"/>
        <w:spacing w:before="220" w:after="100" w:line="240" w:lineRule="auto"/>
        <w:ind w:firstLineChars="0" w:firstLine="0"/>
      </w:pPr>
      <w:r>
        <w:rPr>
          <w:rFonts w:ascii="Arial" w:hAnsi="Arial" w:eastAsia="黑体"/>
          <w:b/>
          <w:i w:val="0"/>
          <w:color w:val="000000"/>
          <w:sz w:val="28"/>
        </w:rPr>
        <w:t>7.3 报警规则配置</w:t>
      </w:r>
    </w:p>
    <w:p>
      <w:pPr>
        <w:spacing w:line="312" w:lineRule="auto" w:after="40"/>
        <w:numPr>
          <w:ilvl w:val="0"/>
          <w:numId w:val="4"/>
        </w:numPr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进入「报警规则」页，新建规则。</w:t>
      </w:r>
    </w:p>
    <w:p>
      <w:pPr>
        <w:spacing w:line="312" w:lineRule="auto" w:after="40"/>
        <w:numPr>
          <w:ilvl w:val="0"/>
          <w:numId w:val="4"/>
        </w:numPr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选择监控标签，设置触发条件：阈值（gt/lt/eq/gte/lte）、偏差、变化率、数字量、表达式共 5 种触发方式，支持消抖时间与自动恢复。</w:t>
      </w:r>
    </w:p>
    <w:p>
      <w:pPr>
        <w:spacing w:line="312" w:lineRule="auto" w:after="40"/>
        <w:numPr>
          <w:ilvl w:val="0"/>
          <w:numId w:val="4"/>
        </w:numPr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设置告警级别与通知方式，保存后规则进入报警检测引擎实时评估。</w:t>
      </w:r>
    </w:p>
    <w:p>
      <w:pPr>
        <w:pStyle w:val="Heading2"/>
        <w:spacing w:before="220" w:after="100" w:line="240" w:lineRule="auto"/>
        <w:ind w:firstLineChars="0" w:firstLine="0"/>
      </w:pPr>
      <w:r>
        <w:rPr>
          <w:rFonts w:ascii="Arial" w:hAnsi="Arial" w:eastAsia="黑体"/>
          <w:b/>
          <w:i w:val="0"/>
          <w:color w:val="000000"/>
          <w:sz w:val="28"/>
        </w:rPr>
        <w:t>7.4 告警处置与通知</w:t>
      </w:r>
    </w:p>
    <w:p>
      <w:pPr>
        <w:spacing w:line="240" w:lineRule="auto" w:before="120" w:after="80"/>
        <w:jc w:val="center"/>
        <w:ind w:firstLineChars="0" w:firstLine="0"/>
      </w:pPr>
      <w:r>
        <w:rPr>
          <w:rFonts w:ascii="Arial" w:hAnsi="Arial" w:eastAsia="宋体"/>
          <w:b/>
          <w:i w:val="0"/>
          <w:color w:val="000000"/>
          <w:sz w:val="21"/>
        </w:rPr>
        <w:t>表 7-2 告警处置与通知能力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8" w:color="808080"/>
          <w:left w:val="single" w:sz="8" w:color="808080"/>
          <w:bottom w:val="single" w:sz="8" w:color="808080"/>
          <w:right w:val="single" w:sz="8" w:color="808080"/>
          <w:insideH w:val="single" w:sz="4" w:color="808080"/>
          <w:insideV w:val="single" w:sz="4" w:color="808080"/>
        </w:tblBorders>
      </w:tblPr>
      <w:tblGrid>
        <w:gridCol w:w="4536"/>
        <w:gridCol w:w="4536"/>
      </w:tblGrid>
      <w:tr>
        <w:trPr>
          <w:cantSplit/>
          <w:tblHeader/>
        </w:trPr>
        <w:tc>
          <w:tcPr>
            <w:tcW w:type="dxa" w:w="4536"/>
            <w:vAlign w:val="center"/>
            <w:shd w:val="clear" w:color="auto" w:fill="D9D9D9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/>
                <w:i w:val="0"/>
                <w:color w:val="000000"/>
                <w:sz w:val="21"/>
              </w:rPr>
              <w:t>能力</w:t>
            </w:r>
          </w:p>
        </w:tc>
        <w:tc>
          <w:tcPr>
            <w:tcW w:type="dxa" w:w="4536"/>
            <w:vAlign w:val="center"/>
            <w:shd w:val="clear" w:color="auto" w:fill="D9D9D9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/>
                <w:i w:val="0"/>
                <w:color w:val="000000"/>
                <w:sz w:val="21"/>
              </w:rPr>
              <w:t>说明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确认 + 备注</w:t>
            </w:r>
          </w:p>
        </w:tc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操作员人工确认告警并填写备注，状态流转 未确认 → 已确认 → 已恢复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多通道通知</w:t>
            </w:r>
          </w:p>
        </w:tc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WebSocket 实时推送 + SMTP 邮件 + 短信 / WebHook / 钉钉 / 企业微信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报警抑制</w:t>
            </w:r>
          </w:p>
        </w:tc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维护模式批量抑制，或按规则 / 设备 / 级别抑制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报警升级</w:t>
            </w:r>
          </w:p>
        </w:tc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超时未确认自动逐级升级（5min → 10min → 30min）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报警统计</w:t>
            </w:r>
          </w:p>
        </w:tc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按时间 / 级别 / 标签分布统计，MTBF / MTTR 计算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内置限值报警</w:t>
            </w:r>
          </w:p>
        </w:tc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标签 highHigh/high/low/lowLow/deviation 5 级限值自动产生告警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归档清理</w:t>
            </w:r>
          </w:p>
        </w:tc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告警记录 SQLite 持久化，365 天自动清理</w:t>
            </w:r>
          </w:p>
        </w:tc>
      </w:tr>
    </w:tbl>
    <w:p>
      <w:pPr>
        <w:spacing w:after="80" w:line="240" w:lineRule="auto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12"/>
        </w:rPr>
      </w:r>
    </w:p>
    <w:p>
      <w:pPr>
        <w:pStyle w:val="Heading1"/>
        <w:spacing w:before="280" w:after="120" w:line="240" w:lineRule="auto"/>
        <w:ind w:firstLineChars="0" w:firstLine="0"/>
      </w:pPr>
      <w:r>
        <w:rPr>
          <w:rFonts w:ascii="Arial" w:hAnsi="Arial" w:eastAsia="黑体"/>
          <w:b/>
          <w:i w:val="0"/>
          <w:color w:val="000000"/>
          <w:sz w:val="32"/>
        </w:rPr>
        <w:t>8. 脚本管理</w:t>
      </w:r>
    </w:p>
    <w:p>
      <w:pPr>
        <w:spacing w:line="360" w:lineRule="auto" w:before="0" w:after="0"/>
        <w:ind w:firstLine="480"/>
        <w:jc w:val="both"/>
      </w:pPr>
      <w:r>
        <w:rPr>
          <w:rFonts w:ascii="Arial" w:hAnsi="Arial" w:eastAsia="宋体"/>
          <w:b w:val="0"/>
          <w:i w:val="0"/>
          <w:color w:val="000000"/>
          <w:sz w:val="24"/>
        </w:rPr>
        <w:t>脚本管理用于数据中台业务脚本的创建、编辑与执行管理。进入顶部「脚本管理」，首先在页面上方选择所属项目。</w:t>
      </w:r>
    </w:p>
    <w:p>
      <w:pPr>
        <w:keepNext/>
        <w:spacing w:before="120" w:after="40"/>
        <w:jc w:val="center"/>
        <w:ind w:firstLineChars="0" w:firstLine="0"/>
      </w:pPr>
      <w:r>
        <w:drawing>
          <wp:inline xmlns:a="http://schemas.openxmlformats.org/drawingml/2006/main" xmlns:pic="http://schemas.openxmlformats.org/drawingml/2006/picture">
            <wp:extent cx="5400000" cy="293378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-脚本管理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9337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keepLines/>
        <w:spacing w:before="40" w:after="160" w:line="240" w:lineRule="auto"/>
        <w:jc w:val="center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1"/>
        </w:rPr>
        <w:t>图 7 脚本管理页（当前项目暂无脚本）</w:t>
      </w:r>
    </w:p>
    <w:p>
      <w:pPr>
        <w:spacing w:line="312" w:lineRule="auto" w:after="40"/>
        <w:numPr>
          <w:ilvl w:val="0"/>
          <w:numId w:val="5"/>
        </w:numPr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选择项目后，点击「新建」创建脚本。</w:t>
      </w:r>
    </w:p>
    <w:p>
      <w:pPr>
        <w:spacing w:line="312" w:lineRule="auto" w:after="40"/>
        <w:numPr>
          <w:ilvl w:val="0"/>
          <w:numId w:val="5"/>
        </w:numPr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在脚本编辑器中编写脚本（Monaco 编辑器：语法高亮、代码补全、API 提示、执行日志与调试）。</w:t>
      </w:r>
    </w:p>
    <w:p>
      <w:pPr>
        <w:spacing w:line="312" w:lineRule="auto" w:after="40"/>
        <w:numPr>
          <w:ilvl w:val="0"/>
          <w:numId w:val="5"/>
        </w:numPr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配置触发方式：手动触发 / 定时调度（Cron 6 位表达式，支持启动恢复）/ 事件驱动（6 种事件源）/ 数据变化，保存后生效。</w:t>
      </w:r>
    </w:p>
    <w:p>
      <w:pPr>
        <w:spacing w:line="240" w:lineRule="auto" w:before="120" w:after="80"/>
        <w:jc w:val="center"/>
        <w:ind w:firstLineChars="0" w:firstLine="0"/>
      </w:pPr>
      <w:r>
        <w:rPr>
          <w:rFonts w:ascii="Arial" w:hAnsi="Arial" w:eastAsia="宋体"/>
          <w:b/>
          <w:i w:val="0"/>
          <w:color w:val="000000"/>
          <w:sz w:val="21"/>
        </w:rPr>
        <w:t>表 8-1 脚本类型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8" w:color="808080"/>
          <w:left w:val="single" w:sz="8" w:color="808080"/>
          <w:bottom w:val="single" w:sz="8" w:color="808080"/>
          <w:right w:val="single" w:sz="8" w:color="808080"/>
          <w:insideH w:val="single" w:sz="4" w:color="808080"/>
          <w:insideV w:val="single" w:sz="4" w:color="808080"/>
        </w:tblBorders>
      </w:tblPr>
      <w:tblGrid>
        <w:gridCol w:w="4536"/>
        <w:gridCol w:w="4536"/>
      </w:tblGrid>
      <w:tr>
        <w:trPr>
          <w:cantSplit/>
          <w:tblHeader/>
        </w:trPr>
        <w:tc>
          <w:tcPr>
            <w:tcW w:type="dxa" w:w="4536"/>
            <w:vAlign w:val="center"/>
            <w:shd w:val="clear" w:color="auto" w:fill="D9D9D9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/>
                <w:i w:val="0"/>
                <w:color w:val="000000"/>
                <w:sz w:val="21"/>
              </w:rPr>
              <w:t>脚本类型</w:t>
            </w:r>
          </w:p>
        </w:tc>
        <w:tc>
          <w:tcPr>
            <w:tcW w:type="dxa" w:w="4536"/>
            <w:vAlign w:val="center"/>
            <w:shd w:val="clear" w:color="auto" w:fill="D9D9D9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/>
                <w:i w:val="0"/>
                <w:color w:val="000000"/>
                <w:sz w:val="21"/>
              </w:rPr>
              <w:t>说明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表达式</w:t>
            </w:r>
          </w:p>
        </w:tc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轻量表达式求值（14 种运算符 + 23 个内置函数），适合属性绑定与条件计算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前端沙箱（Browser Sandbox）</w:t>
            </w:r>
          </w:p>
        </w:tc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组态脚本，提供 25 个内置 API（读写标签、控制图元、触发告警、工具函数），4 种触发方式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后端脚本</w:t>
            </w:r>
          </w:p>
        </w:tc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数据中台脚本引擎（isolated-vm 沙箱 + IsolatePool 2-8 实例），ScriptAPI 7 个：readTag / writeTag / log / httpGet / httpPost / triggerAlarm / notify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AI 脚本生成</w:t>
            </w:r>
          </w:p>
        </w:tc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通过 AI 助手（MCP 工具链）自然语言生成脚本，自动语法检查与 Dry Run 试运行校验</w:t>
            </w:r>
          </w:p>
        </w:tc>
      </w:tr>
    </w:tbl>
    <w:p>
      <w:pPr>
        <w:spacing w:after="80" w:line="240" w:lineRule="auto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12"/>
        </w:rPr>
      </w:r>
    </w:p>
    <w:p>
      <w:pPr>
        <w:spacing w:line="360" w:lineRule="auto" w:before="0" w:after="0"/>
        <w:ind w:firstLine="480"/>
        <w:jc w:val="both"/>
      </w:pPr>
      <w:r>
        <w:rPr>
          <w:rFonts w:ascii="Arial" w:hAnsi="Arial" w:eastAsia="宋体"/>
          <w:b w:val="0"/>
          <w:i w:val="0"/>
          <w:color w:val="000000"/>
          <w:sz w:val="24"/>
        </w:rPr>
        <w:t>脚本引擎安全机制：3 级权限（sandbox / native / expression）+ API 白名单 + 执行超时保护 + 四优先级队列（critical &gt; high &gt; normal &gt; low），脚本模板市场内置常用模板。</w:t>
      </w:r>
    </w:p>
    <w:p>
      <w:pPr>
        <w:pStyle w:val="Heading1"/>
        <w:spacing w:before="280" w:after="120" w:line="240" w:lineRule="auto"/>
        <w:ind w:firstLineChars="0" w:firstLine="0"/>
      </w:pPr>
      <w:r>
        <w:rPr>
          <w:rFonts w:ascii="Arial" w:hAnsi="Arial" w:eastAsia="黑体"/>
          <w:b/>
          <w:i w:val="0"/>
          <w:color w:val="000000"/>
          <w:sz w:val="32"/>
        </w:rPr>
        <w:t>9. 报表管理</w:t>
      </w:r>
    </w:p>
    <w:p>
      <w:pPr>
        <w:spacing w:line="360" w:lineRule="auto" w:before="0" w:after="0"/>
        <w:ind w:firstLine="480"/>
        <w:jc w:val="both"/>
      </w:pPr>
      <w:r>
        <w:rPr>
          <w:rFonts w:ascii="Arial" w:hAnsi="Arial" w:eastAsia="宋体"/>
          <w:b w:val="0"/>
          <w:i w:val="0"/>
          <w:color w:val="000000"/>
          <w:sz w:val="24"/>
        </w:rPr>
        <w:t>报表管理支持日报、月报、自定义报表、告警报表、趋势报表的生成与导出（Excel / PDF）。进入顶部「报表管理 → 数据报表」。</w:t>
      </w:r>
    </w:p>
    <w:p>
      <w:pPr>
        <w:keepNext/>
        <w:spacing w:before="120" w:after="40"/>
        <w:jc w:val="center"/>
        <w:ind w:firstLineChars="0" w:firstLine="0"/>
      </w:pPr>
      <w:r>
        <w:drawing>
          <wp:inline xmlns:a="http://schemas.openxmlformats.org/drawingml/2006/main" xmlns:pic="http://schemas.openxmlformats.org/drawingml/2006/picture">
            <wp:extent cx="5400000" cy="293378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-报表管理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9337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keepLines/>
        <w:spacing w:before="40" w:after="160" w:line="240" w:lineRule="auto"/>
        <w:jc w:val="center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1"/>
        </w:rPr>
        <w:t>图 8 报表管理页（选择类型与日期后生成）</w:t>
      </w:r>
    </w:p>
    <w:p>
      <w:pPr>
        <w:spacing w:line="312" w:lineRule="auto" w:after="40"/>
        <w:numPr>
          <w:ilvl w:val="0"/>
          <w:numId w:val="6"/>
        </w:numPr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选择报表类型（日报 / 月报 / 自定义报表 / 告警报表 / 趋势报表）。</w:t>
      </w:r>
    </w:p>
    <w:p>
      <w:pPr>
        <w:spacing w:line="312" w:lineRule="auto" w:after="40"/>
        <w:numPr>
          <w:ilvl w:val="0"/>
          <w:numId w:val="6"/>
        </w:numPr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选择日期范围，点击「生成报表」；日报/月报支持定时自动生成。</w:t>
      </w:r>
    </w:p>
    <w:p>
      <w:pPr>
        <w:spacing w:line="312" w:lineRule="auto" w:after="40"/>
        <w:numPr>
          <w:ilvl w:val="0"/>
          <w:numId w:val="6"/>
        </w:numPr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选择导出格式（Excel / PDF），点击「导出」下载。</w:t>
      </w:r>
    </w:p>
    <w:p>
      <w:pPr>
        <w:spacing w:line="360" w:lineRule="auto" w:before="0" w:after="0"/>
        <w:ind w:firstLine="480"/>
        <w:jc w:val="both"/>
      </w:pPr>
      <w:r>
        <w:rPr>
          <w:rFonts w:ascii="Arial" w:hAnsi="Arial" w:eastAsia="宋体"/>
          <w:b w:val="0"/>
          <w:i w:val="0"/>
          <w:color w:val="000000"/>
          <w:sz w:val="24"/>
        </w:rPr>
        <w:t>历史趋势数据由 InfluxDB 时序库存储，支持时间段缩放与多标签叠加分析；组态画面中可直接放置趋势图元。</w:t>
      </w:r>
    </w:p>
    <w:p>
      <w:pPr>
        <w:pStyle w:val="Heading1"/>
        <w:spacing w:before="280" w:after="120" w:line="240" w:lineRule="auto"/>
        <w:ind w:firstLineChars="0" w:firstLine="0"/>
      </w:pPr>
      <w:r>
        <w:rPr>
          <w:rFonts w:ascii="Arial" w:hAnsi="Arial" w:eastAsia="黑体"/>
          <w:b/>
          <w:i w:val="0"/>
          <w:color w:val="000000"/>
          <w:sz w:val="32"/>
        </w:rPr>
        <w:t>10. 趋势图与图表</w:t>
      </w:r>
    </w:p>
    <w:p>
      <w:pPr>
        <w:spacing w:line="360" w:lineRule="auto" w:before="0" w:after="0"/>
        <w:ind w:firstLine="480"/>
        <w:jc w:val="both"/>
      </w:pPr>
      <w:r>
        <w:rPr>
          <w:rFonts w:ascii="Arial" w:hAnsi="Arial" w:eastAsia="宋体"/>
          <w:b w:val="0"/>
          <w:i w:val="0"/>
          <w:color w:val="000000"/>
          <w:sz w:val="24"/>
        </w:rPr>
        <w:t>组态编辑器内置图表插件族，用于实时/历史数据的可视化呈现，均支持数据绑定与主题适配：</w:t>
      </w:r>
    </w:p>
    <w:p>
      <w:pPr>
        <w:spacing w:line="240" w:lineRule="auto" w:before="120" w:after="80"/>
        <w:jc w:val="center"/>
        <w:ind w:firstLineChars="0" w:firstLine="0"/>
      </w:pPr>
      <w:r>
        <w:rPr>
          <w:rFonts w:ascii="Arial" w:hAnsi="Arial" w:eastAsia="宋体"/>
          <w:b/>
          <w:i w:val="0"/>
          <w:color w:val="000000"/>
          <w:sz w:val="21"/>
        </w:rPr>
        <w:t>表 10-1 图表插件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8" w:color="808080"/>
          <w:left w:val="single" w:sz="8" w:color="808080"/>
          <w:bottom w:val="single" w:sz="8" w:color="808080"/>
          <w:right w:val="single" w:sz="8" w:color="808080"/>
          <w:insideH w:val="single" w:sz="4" w:color="808080"/>
          <w:insideV w:val="single" w:sz="4" w:color="808080"/>
        </w:tblBorders>
      </w:tblPr>
      <w:tblGrid>
        <w:gridCol w:w="4536"/>
        <w:gridCol w:w="4536"/>
      </w:tblGrid>
      <w:tr>
        <w:trPr>
          <w:cantSplit/>
          <w:tblHeader/>
        </w:trPr>
        <w:tc>
          <w:tcPr>
            <w:tcW w:type="dxa" w:w="4536"/>
            <w:vAlign w:val="center"/>
            <w:shd w:val="clear" w:color="auto" w:fill="D9D9D9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/>
                <w:i w:val="0"/>
                <w:color w:val="000000"/>
                <w:sz w:val="21"/>
              </w:rPr>
              <w:t>插件</w:t>
            </w:r>
          </w:p>
        </w:tc>
        <w:tc>
          <w:tcPr>
            <w:tcW w:type="dxa" w:w="4536"/>
            <w:vAlign w:val="center"/>
            <w:shd w:val="clear" w:color="auto" w:fill="D9D9D9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/>
                <w:i w:val="0"/>
                <w:color w:val="000000"/>
                <w:sz w:val="21"/>
              </w:rPr>
              <w:t>能力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trend-chart 趋势图</w:t>
            </w:r>
          </w:p>
        </w:tc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实时多笔趋势（最多 8 笔对比）、固定时间窗自动滚动、LTTB 降采样、多 Y 轴独立量程、历史趋势查询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chart-gauge 仪表盘</w:t>
            </w:r>
          </w:p>
        </w:tc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单值实时显示 + 阈值色带 + 指针动画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multi-chart 多图表</w:t>
            </w:r>
          </w:p>
        </w:tc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柱状图 / 饼图 / 热力图多维度可视化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chart 基础图表</w:t>
            </w:r>
          </w:p>
        </w:tc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通用 ECharts 图表组件</w:t>
            </w:r>
          </w:p>
        </w:tc>
      </w:tr>
    </w:tbl>
    <w:p>
      <w:pPr>
        <w:spacing w:after="80" w:line="240" w:lineRule="auto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12"/>
        </w:rPr>
      </w:r>
    </w:p>
    <w:p>
      <w:pPr>
        <w:spacing w:line="360" w:lineRule="auto" w:before="0" w:after="0"/>
        <w:ind w:firstLine="480"/>
        <w:jc w:val="both"/>
      </w:pPr>
      <w:r>
        <w:rPr>
          <w:rFonts w:ascii="Arial" w:hAnsi="Arial" w:eastAsia="宋体"/>
          <w:b w:val="0"/>
          <w:i w:val="0"/>
          <w:color w:val="000000"/>
          <w:sz w:val="24"/>
        </w:rPr>
        <w:t>配套数据能力：后端趋势查询 API（支持时间范围 + 聚合 + LTTB 降采样）、CSV/JSON 数据导出 API（单标签/批量）。</w:t>
      </w:r>
    </w:p>
    <w:p>
      <w:pPr>
        <w:spacing w:line="360" w:lineRule="auto" w:before="0" w:after="0"/>
        <w:ind w:firstLine="480"/>
        <w:jc w:val="both"/>
      </w:pPr>
      <w:r>
        <w:rPr>
          <w:rFonts w:ascii="Arial" w:hAnsi="Arial" w:eastAsia="宋体"/>
          <w:b w:val="0"/>
          <w:i w:val="0"/>
          <w:color w:val="000000"/>
          <w:sz w:val="24"/>
        </w:rPr>
        <w:t>使用方式：从图元面板「图表组件」分类拖入画布 → 绑定数据标签 → 配置时间窗/笔数/量程即可实时显示。</w:t>
      </w:r>
    </w:p>
    <w:p>
      <w:pPr>
        <w:pStyle w:val="Heading1"/>
        <w:spacing w:before="280" w:after="120" w:line="240" w:lineRule="auto"/>
        <w:ind w:firstLineChars="0" w:firstLine="0"/>
      </w:pPr>
      <w:r>
        <w:rPr>
          <w:rFonts w:ascii="Arial" w:hAnsi="Arial" w:eastAsia="黑体"/>
          <w:b/>
          <w:i w:val="0"/>
          <w:color w:val="000000"/>
          <w:sz w:val="32"/>
        </w:rPr>
        <w:t>11. 组态编辑器</w:t>
      </w:r>
    </w:p>
    <w:p>
      <w:pPr>
        <w:spacing w:line="360" w:lineRule="auto" w:before="0" w:after="0"/>
        <w:ind w:firstLine="480"/>
        <w:jc w:val="both"/>
      </w:pPr>
      <w:r>
        <w:rPr>
          <w:rFonts w:ascii="Arial" w:hAnsi="Arial" w:eastAsia="宋体"/>
          <w:b w:val="0"/>
          <w:i w:val="0"/>
          <w:color w:val="000000"/>
          <w:sz w:val="24"/>
        </w:rPr>
        <w:t>组态编辑器（Smart SCADA）用于工业监控画面的拖拽式制作与运行。两种进入方式：顶部导航「编辑器」（默认项目）或项目卡片「编辑器」按钮（直达指定项目）。</w:t>
      </w:r>
    </w:p>
    <w:p>
      <w:pPr>
        <w:pStyle w:val="Heading2"/>
        <w:spacing w:before="220" w:after="100" w:line="240" w:lineRule="auto"/>
        <w:ind w:firstLineChars="0" w:firstLine="0"/>
      </w:pPr>
      <w:r>
        <w:rPr>
          <w:rFonts w:ascii="Arial" w:hAnsi="Arial" w:eastAsia="黑体"/>
          <w:b/>
          <w:i w:val="0"/>
          <w:color w:val="000000"/>
          <w:sz w:val="28"/>
        </w:rPr>
        <w:t>11.1 编辑器布局</w:t>
      </w:r>
    </w:p>
    <w:p>
      <w:pPr>
        <w:pStyle w:val="ListBullet"/>
        <w:spacing w:line="312" w:lineRule="auto" w:after="40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顶部工具条：工程 / 页面 / 通用组件（图元面板）/ 搜索 / 数据中台 / 用户信息。</w:t>
      </w:r>
    </w:p>
    <w:p>
      <w:pPr>
        <w:pStyle w:val="ListBullet"/>
        <w:spacing w:line="312" w:lineRule="auto" w:after="40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左侧面板：页面列表（多页面管理、分组）、图层、组件模板、布局模板。</w:t>
      </w:r>
    </w:p>
    <w:p>
      <w:pPr>
        <w:pStyle w:val="ListBullet"/>
        <w:spacing w:line="312" w:lineRule="auto" w:after="40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中间画布：1920×1080 设计画布（尺寸可配置），带标尺、网格吸附、智能对齐。</w:t>
      </w:r>
    </w:p>
    <w:p>
      <w:pPr>
        <w:pStyle w:val="ListBullet"/>
        <w:spacing w:line="312" w:lineRule="auto" w:after="40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右侧面板：画布属性（尺寸 / 布局模板 / 背景 / 渲染器模式 / 选择模式 / 窗口适配）、属性 / 定时器 / JSON。</w:t>
      </w:r>
    </w:p>
    <w:p>
      <w:pPr>
        <w:keepNext/>
        <w:spacing w:before="120" w:after="40"/>
        <w:jc w:val="center"/>
        <w:ind w:firstLineChars="0" w:firstLine="0"/>
      </w:pPr>
      <w:r>
        <w:drawing>
          <wp:inline xmlns:a="http://schemas.openxmlformats.org/drawingml/2006/main" xmlns:pic="http://schemas.openxmlformats.org/drawingml/2006/picture">
            <wp:extent cx="5400000" cy="293378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-组态编辑器-画布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9337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keepLines/>
        <w:spacing w:before="40" w:after="160" w:line="240" w:lineRule="auto"/>
        <w:jc w:val="center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1"/>
        </w:rPr>
        <w:t>图 9 组态编辑器画布（智慧工厂-絮凝剂制备系统工艺流程）</w:t>
      </w:r>
    </w:p>
    <w:p>
      <w:pPr>
        <w:pStyle w:val="Heading2"/>
        <w:spacing w:before="220" w:after="100" w:line="240" w:lineRule="auto"/>
        <w:ind w:firstLineChars="0" w:firstLine="0"/>
      </w:pPr>
      <w:r>
        <w:rPr>
          <w:rFonts w:ascii="Arial" w:hAnsi="Arial" w:eastAsia="黑体"/>
          <w:b/>
          <w:i w:val="0"/>
          <w:color w:val="000000"/>
          <w:sz w:val="28"/>
        </w:rPr>
        <w:t>11.2 图元面板（组件库）</w:t>
      </w:r>
    </w:p>
    <w:p>
      <w:pPr>
        <w:spacing w:line="360" w:lineRule="auto" w:before="0" w:after="0"/>
        <w:ind w:firstLine="480"/>
        <w:jc w:val="both"/>
      </w:pPr>
      <w:r>
        <w:rPr>
          <w:rFonts w:ascii="Arial" w:hAnsi="Arial" w:eastAsia="宋体"/>
          <w:b w:val="0"/>
          <w:i w:val="0"/>
          <w:color w:val="000000"/>
          <w:sz w:val="24"/>
        </w:rPr>
        <w:t>点击「通用组件」打开图元分类面板：通用组件（基础组件 / 系统组件 / 表单组件）、图表组件、工业组件、装饰组件、3D 组件、电力组件、矿产组件。基础组件包含：按钮、日期时间、图片、标签、Naive 按钮、形状、文本框等。</w:t>
      </w:r>
    </w:p>
    <w:p>
      <w:pPr>
        <w:keepNext/>
        <w:spacing w:before="120" w:after="40"/>
        <w:jc w:val="center"/>
        <w:ind w:firstLineChars="0" w:firstLine="0"/>
      </w:pPr>
      <w:r>
        <w:drawing>
          <wp:inline xmlns:a="http://schemas.openxmlformats.org/drawingml/2006/main" xmlns:pic="http://schemas.openxmlformats.org/drawingml/2006/picture">
            <wp:extent cx="5400000" cy="293378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-图元组件面板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9337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keepLines/>
        <w:spacing w:before="40" w:after="160" w:line="240" w:lineRule="auto"/>
        <w:jc w:val="center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1"/>
        </w:rPr>
        <w:t>图 10 图元分类面板（基础组件示例）</w:t>
      </w:r>
    </w:p>
    <w:p>
      <w:pPr>
        <w:pStyle w:val="Heading2"/>
        <w:spacing w:before="220" w:after="100" w:line="240" w:lineRule="auto"/>
        <w:ind w:firstLineChars="0" w:firstLine="0"/>
      </w:pPr>
      <w:r>
        <w:rPr>
          <w:rFonts w:ascii="Arial" w:hAnsi="Arial" w:eastAsia="黑体"/>
          <w:b/>
          <w:i w:val="0"/>
          <w:color w:val="000000"/>
          <w:sz w:val="28"/>
        </w:rPr>
        <w:t>11.3 画面编辑</w:t>
      </w:r>
    </w:p>
    <w:p>
      <w:pPr>
        <w:spacing w:line="312" w:lineRule="auto" w:after="40"/>
        <w:numPr>
          <w:ilvl w:val="0"/>
          <w:numId w:val="7"/>
        </w:numPr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在左侧页面列表新建/选择页面，或新建分组管理页面。</w:t>
      </w:r>
    </w:p>
    <w:p>
      <w:pPr>
        <w:spacing w:line="312" w:lineRule="auto" w:after="40"/>
        <w:numPr>
          <w:ilvl w:val="0"/>
          <w:numId w:val="7"/>
        </w:numPr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从图元面板拖拽图元到画布，选中后通过属性面板配置位置、尺寸、样式。</w:t>
      </w:r>
    </w:p>
    <w:p>
      <w:pPr>
        <w:spacing w:line="312" w:lineRule="auto" w:after="40"/>
        <w:numPr>
          <w:ilvl w:val="0"/>
          <w:numId w:val="7"/>
        </w:numPr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绑定数据：选中图元 → 数据绑定面板选择标签/表达式，图元即可实时联动显示。</w:t>
      </w:r>
    </w:p>
    <w:p>
      <w:pPr>
        <w:spacing w:line="312" w:lineRule="auto" w:after="40"/>
        <w:numPr>
          <w:ilvl w:val="0"/>
          <w:numId w:val="7"/>
        </w:numPr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配置映射方式：简单绑定、表达式绑定、枚举映射、阈值分段映射（开关量组件可绑定模拟量并按阈值分段驱动状态）。</w:t>
      </w:r>
    </w:p>
    <w:p>
      <w:pPr>
        <w:spacing w:line="312" w:lineRule="auto" w:after="40"/>
        <w:numPr>
          <w:ilvl w:val="0"/>
          <w:numId w:val="7"/>
        </w:numPr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添加动画效果（进入动画 / 循环动画 / 缓动），支持管道流动、旋转、闪烁。</w:t>
      </w:r>
    </w:p>
    <w:p>
      <w:pPr>
        <w:spacing w:line="312" w:lineRule="auto" w:after="40"/>
        <w:numPr>
          <w:ilvl w:val="0"/>
          <w:numId w:val="7"/>
        </w:numPr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设置画布背景（上传图片或颜色）、选择渲染器模式（Canvas 原生 / Konva 多层 / SVG 矢量 / WebGL GPU 加速）。</w:t>
      </w:r>
    </w:p>
    <w:p>
      <w:pPr>
        <w:spacing w:line="312" w:lineRule="auto" w:after="40"/>
        <w:numPr>
          <w:ilvl w:val="0"/>
          <w:numId w:val="7"/>
        </w:numPr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支持自动保存（防抖 300ms）与手动保存（Ctrl+S），画面可导出 PNG / JSON。</w:t>
      </w:r>
    </w:p>
    <w:p>
      <w:pPr>
        <w:keepNext/>
        <w:spacing w:before="120" w:after="40"/>
        <w:jc w:val="center"/>
        <w:ind w:firstLineChars="0" w:firstLine="0"/>
      </w:pPr>
      <w:r>
        <w:drawing>
          <wp:inline xmlns:a="http://schemas.openxmlformats.org/drawingml/2006/main" xmlns:pic="http://schemas.openxmlformats.org/drawingml/2006/picture">
            <wp:extent cx="5400000" cy="293378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4-组态编辑器-画面编辑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9337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keepLines/>
        <w:spacing w:before="40" w:after="160" w:line="240" w:lineRule="auto"/>
        <w:jc w:val="center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1"/>
        </w:rPr>
        <w:t>图 11 画面编辑示例（温度计仪表图元，绑定 Pt100 标签显示 0.0℃）</w:t>
      </w:r>
    </w:p>
    <w:p>
      <w:pPr>
        <w:pStyle w:val="Heading2"/>
        <w:spacing w:before="220" w:after="100" w:line="240" w:lineRule="auto"/>
        <w:ind w:firstLineChars="0" w:firstLine="0"/>
      </w:pPr>
      <w:r>
        <w:rPr>
          <w:rFonts w:ascii="Arial" w:hAnsi="Arial" w:eastAsia="黑体"/>
          <w:b/>
          <w:i w:val="0"/>
          <w:color w:val="000000"/>
          <w:sz w:val="28"/>
        </w:rPr>
        <w:t>11.4 图元编辑能力</w:t>
      </w:r>
    </w:p>
    <w:p>
      <w:pPr>
        <w:spacing w:line="240" w:lineRule="auto" w:before="120" w:after="80"/>
        <w:jc w:val="center"/>
        <w:ind w:firstLineChars="0" w:firstLine="0"/>
      </w:pPr>
      <w:r>
        <w:rPr>
          <w:rFonts w:ascii="Arial" w:hAnsi="Arial" w:eastAsia="宋体"/>
          <w:b/>
          <w:i w:val="0"/>
          <w:color w:val="000000"/>
          <w:sz w:val="21"/>
        </w:rPr>
        <w:t>表 11-1 图元编辑能力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8" w:color="808080"/>
          <w:left w:val="single" w:sz="8" w:color="808080"/>
          <w:bottom w:val="single" w:sz="8" w:color="808080"/>
          <w:right w:val="single" w:sz="8" w:color="808080"/>
          <w:insideH w:val="single" w:sz="4" w:color="808080"/>
          <w:insideV w:val="single" w:sz="4" w:color="808080"/>
        </w:tblBorders>
      </w:tblPr>
      <w:tblGrid>
        <w:gridCol w:w="4536"/>
        <w:gridCol w:w="4536"/>
      </w:tblGrid>
      <w:tr>
        <w:trPr>
          <w:cantSplit/>
          <w:tblHeader/>
        </w:trPr>
        <w:tc>
          <w:tcPr>
            <w:tcW w:type="dxa" w:w="4536"/>
            <w:vAlign w:val="center"/>
            <w:shd w:val="clear" w:color="auto" w:fill="D9D9D9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/>
                <w:i w:val="0"/>
                <w:color w:val="000000"/>
                <w:sz w:val="21"/>
              </w:rPr>
              <w:t>能力</w:t>
            </w:r>
          </w:p>
        </w:tc>
        <w:tc>
          <w:tcPr>
            <w:tcW w:type="dxa" w:w="4536"/>
            <w:vAlign w:val="center"/>
            <w:shd w:val="clear" w:color="auto" w:fill="D9D9D9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/>
                <w:i w:val="0"/>
                <w:color w:val="000000"/>
                <w:sz w:val="21"/>
              </w:rPr>
              <w:t>说明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选择</w:t>
            </w:r>
          </w:p>
        </w:tc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单击单选、Ctrl 累加选择、Ctrl+Shift 减选、框选、Ctrl+A 全选、Esc 清空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变换</w:t>
            </w:r>
          </w:p>
        </w:tc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拖拽移动（方向键 1px 微调 / Shift+10px）、8 方向缩放手柄（Shift 等比）、旋转手柄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组合</w:t>
            </w:r>
          </w:p>
        </w:tc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Ctrl+G 组合、Ctrl+Shift+G 取消组合、双击进入组编辑、嵌套组合、组整体变换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对齐分布</w:t>
            </w:r>
          </w:p>
        </w:tc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左/右/上/下/水平居中/垂直居中 + 水平/垂直等距分布 + 等宽等高，拖拽时智能对齐线辅助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图层</w:t>
            </w:r>
          </w:p>
        </w:tc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置顶 / 置底 / 上移一层 / 下移一层，图层面板可视化管理与拖拽排序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历史记录</w:t>
            </w:r>
          </w:p>
        </w:tc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撤销（Ctrl+Z）/ 重做（Ctrl+Y），深度 50 条，批量操作合并为单次撤销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剪贴板</w:t>
            </w:r>
          </w:p>
        </w:tc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复制（Ctrl+C）/ 剪切（Ctrl+X）/ 粘贴（Ctrl+V）连续粘贴偏移、跨页面复制/移动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锁定与可见性</w:t>
            </w:r>
          </w:p>
        </w:tc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图元锁定禁止编辑、图层眼睛图标切换显示/隐藏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格式刷</w:t>
            </w:r>
          </w:p>
        </w:tc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一键复制图元样式到其他图元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事件交互</w:t>
            </w:r>
          </w:p>
        </w:tc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为图元配置点击/双击/悬停事件，触发打开页面、执行脚本等动作（编辑态配置）</w:t>
            </w:r>
          </w:p>
        </w:tc>
      </w:tr>
    </w:tbl>
    <w:p>
      <w:pPr>
        <w:spacing w:after="80" w:line="240" w:lineRule="auto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12"/>
        </w:rPr>
      </w:r>
    </w:p>
    <w:p>
      <w:pPr>
        <w:pStyle w:val="Heading2"/>
        <w:spacing w:before="220" w:after="100" w:line="240" w:lineRule="auto"/>
        <w:ind w:firstLineChars="0" w:firstLine="0"/>
      </w:pPr>
      <w:r>
        <w:rPr>
          <w:rFonts w:ascii="Arial" w:hAnsi="Arial" w:eastAsia="黑体"/>
          <w:b/>
          <w:i w:val="0"/>
          <w:color w:val="000000"/>
          <w:sz w:val="28"/>
        </w:rPr>
        <w:t>11.5 画布与视口</w:t>
      </w:r>
    </w:p>
    <w:p>
      <w:pPr>
        <w:pStyle w:val="ListBullet"/>
        <w:spacing w:line="312" w:lineRule="auto" w:after="40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缩放：滚轮缩放（10%～200%）、按钮缩放、适应窗口、缩放重置；以鼠标位置/画布中心/左上角三种原点模式。</w:t>
      </w:r>
    </w:p>
    <w:p>
      <w:pPr>
        <w:pStyle w:val="ListBullet"/>
        <w:spacing w:line="312" w:lineRule="auto" w:after="40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适配模式：自动适配 / 等比包含 / 宽度适配 / 高度适配 / 拉伸适配 5 种。</w:t>
      </w:r>
    </w:p>
    <w:p>
      <w:pPr>
        <w:pStyle w:val="ListBullet"/>
        <w:spacing w:line="312" w:lineRule="auto" w:after="40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标尺与辅助线：横向/纵向标尺（7 级自适应刻度），从标尺拖出辅助线，图元自动吸附。</w:t>
      </w:r>
    </w:p>
    <w:p>
      <w:pPr>
        <w:pStyle w:val="ListBullet"/>
        <w:spacing w:line="312" w:lineRule="auto" w:after="40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吸附系统：网格吸附 + 智能对齐（6 种参考线 + 彩色指示器）。</w:t>
      </w:r>
    </w:p>
    <w:p>
      <w:pPr>
        <w:pStyle w:val="ListBullet"/>
        <w:spacing w:line="312" w:lineRule="auto" w:after="40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双坐标系：逻辑坐标（1920×1080 分辨率无关）与显示坐标自动换算，拖拽无抖动。</w:t>
      </w:r>
    </w:p>
    <w:p>
      <w:pPr>
        <w:pStyle w:val="ListBullet"/>
        <w:spacing w:line="312" w:lineRule="auto" w:after="40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快捷键：Ctrl+C/V/X/Z/Y/A/Del，编辑/预览上下文隔离。</w:t>
      </w:r>
    </w:p>
    <w:p>
      <w:pPr>
        <w:pStyle w:val="Heading2"/>
        <w:spacing w:before="220" w:after="100" w:line="240" w:lineRule="auto"/>
        <w:ind w:firstLineChars="0" w:firstLine="0"/>
      </w:pPr>
      <w:r>
        <w:rPr>
          <w:rFonts w:ascii="Arial" w:hAnsi="Arial" w:eastAsia="黑体"/>
          <w:b/>
          <w:i w:val="0"/>
          <w:color w:val="000000"/>
          <w:sz w:val="28"/>
        </w:rPr>
        <w:t>11.6 动画系统</w:t>
      </w:r>
    </w:p>
    <w:p>
      <w:pPr>
        <w:spacing w:line="240" w:lineRule="auto" w:before="120" w:after="80"/>
        <w:jc w:val="center"/>
        <w:ind w:firstLineChars="0" w:firstLine="0"/>
      </w:pPr>
      <w:r>
        <w:rPr>
          <w:rFonts w:ascii="Arial" w:hAnsi="Arial" w:eastAsia="宋体"/>
          <w:b/>
          <w:i w:val="0"/>
          <w:color w:val="000000"/>
          <w:sz w:val="21"/>
        </w:rPr>
        <w:t>表 11-2 动画系统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8" w:color="808080"/>
          <w:left w:val="single" w:sz="8" w:color="808080"/>
          <w:bottom w:val="single" w:sz="8" w:color="808080"/>
          <w:right w:val="single" w:sz="8" w:color="808080"/>
          <w:insideH w:val="single" w:sz="4" w:color="808080"/>
          <w:insideV w:val="single" w:sz="4" w:color="808080"/>
        </w:tblBorders>
      </w:tblPr>
      <w:tblGrid>
        <w:gridCol w:w="4536"/>
        <w:gridCol w:w="4536"/>
      </w:tblGrid>
      <w:tr>
        <w:trPr>
          <w:cantSplit/>
          <w:tblHeader/>
        </w:trPr>
        <w:tc>
          <w:tcPr>
            <w:tcW w:type="dxa" w:w="4536"/>
            <w:vAlign w:val="center"/>
            <w:shd w:val="clear" w:color="auto" w:fill="D9D9D9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/>
                <w:i w:val="0"/>
                <w:color w:val="000000"/>
                <w:sz w:val="21"/>
              </w:rPr>
              <w:t>类型</w:t>
            </w:r>
          </w:p>
        </w:tc>
        <w:tc>
          <w:tcPr>
            <w:tcW w:type="dxa" w:w="4536"/>
            <w:vAlign w:val="center"/>
            <w:shd w:val="clear" w:color="auto" w:fill="D9D9D9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/>
                <w:i w:val="0"/>
                <w:color w:val="000000"/>
                <w:sz w:val="21"/>
              </w:rPr>
              <w:t>能力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进入动画（36 种）</w:t>
            </w:r>
          </w:p>
        </w:tc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渐变 / 四方向滑入 / 旋转 / 弹入 / 缩放 / 滑动展开 / 光速 / 3D 旋转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循环动画（10 种）</w:t>
            </w:r>
          </w:p>
        </w:tc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弹跳 / 闪烁 / 脉冲缩放 / 晃动 / 扇形摇摆 / 旋转脉冲等（管道流动、告警闪烁）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缓动函数（12 种）</w:t>
            </w:r>
          </w:p>
        </w:tc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线性 / 标准缓入缓出 / 弹跳 / 弹性 / 回弹</w:t>
            </w:r>
          </w:p>
        </w:tc>
      </w:tr>
    </w:tbl>
    <w:p>
      <w:pPr>
        <w:spacing w:after="80" w:line="240" w:lineRule="auto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12"/>
        </w:rPr>
      </w:r>
    </w:p>
    <w:p>
      <w:pPr>
        <w:pStyle w:val="Heading2"/>
        <w:spacing w:before="220" w:after="100" w:line="240" w:lineRule="auto"/>
        <w:ind w:firstLineChars="0" w:firstLine="0"/>
      </w:pPr>
      <w:r>
        <w:rPr>
          <w:rFonts w:ascii="Arial" w:hAnsi="Arial" w:eastAsia="黑体"/>
          <w:b/>
          <w:i w:val="0"/>
          <w:color w:val="000000"/>
          <w:sz w:val="28"/>
        </w:rPr>
        <w:t>11.7 数据源管理</w:t>
      </w:r>
    </w:p>
    <w:p>
      <w:pPr>
        <w:spacing w:line="360" w:lineRule="auto" w:before="0" w:after="0"/>
        <w:ind w:firstLine="480"/>
        <w:jc w:val="both"/>
      </w:pPr>
      <w:r>
        <w:rPr>
          <w:rFonts w:ascii="Arial" w:hAnsi="Arial" w:eastAsia="宋体"/>
          <w:b w:val="0"/>
          <w:i w:val="0"/>
          <w:color w:val="000000"/>
          <w:sz w:val="24"/>
        </w:rPr>
        <w:t>编辑器支持页面级数据源管理，8 种类型：静态数据、表达式、HTTP 轮询、WebSocket、SQL 查询、OPC UA、Modbus、MQTT；支持连接测试、状态监控（idle/loading/active/error/paused）与启停控制。</w:t>
      </w:r>
    </w:p>
    <w:p>
      <w:pPr>
        <w:pStyle w:val="Heading2"/>
        <w:spacing w:before="220" w:after="100" w:line="240" w:lineRule="auto"/>
        <w:ind w:firstLineChars="0" w:firstLine="0"/>
      </w:pPr>
      <w:r>
        <w:rPr>
          <w:rFonts w:ascii="Arial" w:hAnsi="Arial" w:eastAsia="黑体"/>
          <w:b/>
          <w:i w:val="0"/>
          <w:color w:val="000000"/>
          <w:sz w:val="28"/>
        </w:rPr>
        <w:t>11.8 脚本与表达式</w:t>
      </w:r>
    </w:p>
    <w:p>
      <w:pPr>
        <w:pStyle w:val="ListBullet"/>
        <w:spacing w:line="312" w:lineRule="auto" w:after="40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表达式引擎：词法分析 → AST → 求值，预编译缓存；14 种运算符 + 23 个内置函数；支持 ${tagName} 标签占位符替换。</w:t>
      </w:r>
    </w:p>
    <w:p>
      <w:pPr>
        <w:pStyle w:val="ListBullet"/>
        <w:spacing w:line="312" w:lineRule="auto" w:after="40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前端沙箱：JS 沙箱执行，白名单全局变量 + 黑名单拦截 + 超时保护；25 个 ScriptAPI（数据读写、图元操作、告警、工具函数）。</w:t>
      </w:r>
    </w:p>
    <w:p>
      <w:pPr>
        <w:pStyle w:val="ListBullet"/>
        <w:spacing w:line="312" w:lineRule="auto" w:after="40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触发方式：数据变化 / 定时器 / 事件 / 手动。</w:t>
      </w:r>
    </w:p>
    <w:p>
      <w:pPr>
        <w:pStyle w:val="Heading2"/>
        <w:spacing w:before="220" w:after="100" w:line="240" w:lineRule="auto"/>
        <w:ind w:firstLineChars="0" w:firstLine="0"/>
      </w:pPr>
      <w:r>
        <w:rPr>
          <w:rFonts w:ascii="Arial" w:hAnsi="Arial" w:eastAsia="黑体"/>
          <w:b/>
          <w:i w:val="0"/>
          <w:color w:val="000000"/>
          <w:sz w:val="28"/>
        </w:rPr>
        <w:t>11.9 预览与运行</w:t>
      </w:r>
    </w:p>
    <w:p>
      <w:pPr>
        <w:spacing w:line="312" w:lineRule="auto" w:after="40"/>
        <w:numPr>
          <w:ilvl w:val="0"/>
          <w:numId w:val="8"/>
        </w:numPr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点击编辑器「预览」进入运行态，实时接收 WebSocket 推送数据，画面自动刷新。</w:t>
      </w:r>
    </w:p>
    <w:p>
      <w:pPr>
        <w:spacing w:line="312" w:lineRule="auto" w:after="40"/>
        <w:numPr>
          <w:ilvl w:val="0"/>
          <w:numId w:val="8"/>
        </w:numPr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运行态支持全屏展示，适合投放监控大屏。</w:t>
      </w:r>
    </w:p>
    <w:p>
      <w:pPr>
        <w:spacing w:line="312" w:lineRule="auto" w:after="40"/>
        <w:numPr>
          <w:ilvl w:val="0"/>
          <w:numId w:val="8"/>
        </w:numPr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「窗口适配」配置在预览/运行态生效：默认自动适配，按屏幕宽高比选择最佳模式。</w:t>
      </w:r>
    </w:p>
    <w:p>
      <w:pPr>
        <w:spacing w:line="240" w:lineRule="auto" w:before="120" w:after="80"/>
        <w:jc w:val="center"/>
        <w:ind w:firstLineChars="0" w:firstLine="0"/>
      </w:pPr>
      <w:r>
        <w:rPr>
          <w:rFonts w:ascii="Arial" w:hAnsi="Arial" w:eastAsia="宋体"/>
          <w:b/>
          <w:i w:val="0"/>
          <w:color w:val="000000"/>
          <w:sz w:val="21"/>
        </w:rPr>
        <w:t>表 11-3 运行态能力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8" w:color="808080"/>
          <w:left w:val="single" w:sz="8" w:color="808080"/>
          <w:bottom w:val="single" w:sz="8" w:color="808080"/>
          <w:right w:val="single" w:sz="8" w:color="808080"/>
          <w:insideH w:val="single" w:sz="4" w:color="808080"/>
          <w:insideV w:val="single" w:sz="4" w:color="808080"/>
        </w:tblBorders>
      </w:tblPr>
      <w:tblGrid>
        <w:gridCol w:w="4536"/>
        <w:gridCol w:w="4536"/>
      </w:tblGrid>
      <w:tr>
        <w:trPr>
          <w:cantSplit/>
          <w:tblHeader/>
        </w:trPr>
        <w:tc>
          <w:tcPr>
            <w:tcW w:type="dxa" w:w="4536"/>
            <w:vAlign w:val="center"/>
            <w:shd w:val="clear" w:color="auto" w:fill="D9D9D9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/>
                <w:i w:val="0"/>
                <w:color w:val="000000"/>
                <w:sz w:val="21"/>
              </w:rPr>
              <w:t>运行态能力</w:t>
            </w:r>
          </w:p>
        </w:tc>
        <w:tc>
          <w:tcPr>
            <w:tcW w:type="dxa" w:w="4536"/>
            <w:vAlign w:val="center"/>
            <w:shd w:val="clear" w:color="auto" w:fill="D9D9D9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/>
                <w:i w:val="0"/>
                <w:color w:val="000000"/>
                <w:sz w:val="21"/>
              </w:rPr>
              <w:t>说明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表达式引擎</w:t>
            </w:r>
          </w:p>
        </w:tc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绑定表达式实时求值（运算、比较、字符串拼接等）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数据绑定引擎</w:t>
            </w:r>
          </w:p>
        </w:tc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Simple 简单绑定 / Expression 表达式绑定 / 格式化输出，WebSocket 自动订阅与引用计数管理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定时任务调度</w:t>
            </w:r>
          </w:p>
        </w:tc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interval / timeout 两类定时器，脚本沙箱执行（11 个沙箱 API），带执行日志监控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实时告警引擎</w:t>
            </w:r>
          </w:p>
        </w:tc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规则评估、触发、确认、升级、通知（3 态生命周期）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趋势数据管理</w:t>
            </w:r>
          </w:p>
        </w:tc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RingBuffer 环形缓冲 O(1) 存储，多标签趋势管理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数据质量管理</w:t>
            </w:r>
          </w:p>
        </w:tc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5 级质量码体系（good/uncertain/bad/stale/disconnected）、质量评估引擎、质量可视化</w:t>
            </w:r>
          </w:p>
        </w:tc>
      </w:tr>
    </w:tbl>
    <w:p>
      <w:pPr>
        <w:spacing w:after="80" w:line="240" w:lineRule="auto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12"/>
        </w:rPr>
      </w:r>
    </w:p>
    <w:p>
      <w:pPr>
        <w:pStyle w:val="Heading1"/>
        <w:spacing w:before="280" w:after="120" w:line="240" w:lineRule="auto"/>
        <w:ind w:firstLineChars="0" w:firstLine="0"/>
      </w:pPr>
      <w:r>
        <w:rPr>
          <w:rFonts w:ascii="Arial" w:hAnsi="Arial" w:eastAsia="黑体"/>
          <w:b/>
          <w:i w:val="0"/>
          <w:color w:val="000000"/>
          <w:sz w:val="32"/>
        </w:rPr>
        <w:t>12. 组态管理</w:t>
      </w:r>
    </w:p>
    <w:p>
      <w:pPr>
        <w:spacing w:line="360" w:lineRule="auto" w:before="0" w:after="0"/>
        <w:ind w:firstLine="480"/>
        <w:jc w:val="both"/>
      </w:pPr>
      <w:r>
        <w:rPr>
          <w:rFonts w:ascii="Arial" w:hAnsi="Arial" w:eastAsia="宋体"/>
          <w:b w:val="0"/>
          <w:i w:val="0"/>
          <w:color w:val="000000"/>
          <w:sz w:val="24"/>
        </w:rPr>
        <w:t>组态管理维护画布模板、布局模板、组件模板、图库与图元插件。进入顶部「组态管理」。</w:t>
      </w:r>
    </w:p>
    <w:p>
      <w:pPr>
        <w:pStyle w:val="Heading2"/>
        <w:spacing w:before="220" w:after="100" w:line="240" w:lineRule="auto"/>
        <w:ind w:firstLineChars="0" w:firstLine="0"/>
      </w:pPr>
      <w:r>
        <w:rPr>
          <w:rFonts w:ascii="Arial" w:hAnsi="Arial" w:eastAsia="黑体"/>
          <w:b/>
          <w:i w:val="0"/>
          <w:color w:val="000000"/>
          <w:sz w:val="28"/>
        </w:rPr>
        <w:t>12.1 模板与图库</w:t>
      </w:r>
    </w:p>
    <w:p>
      <w:pPr>
        <w:pStyle w:val="ListBullet"/>
        <w:spacing w:line="312" w:lineRule="auto" w:after="40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画布模板管理：预置画布尺寸与背景模板，新建画面时可快速套用。</w:t>
      </w:r>
    </w:p>
    <w:p>
      <w:pPr>
        <w:pStyle w:val="ListBullet"/>
        <w:spacing w:line="312" w:lineRule="auto" w:after="40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布局模板管理：预置画面布局结构（如标准监控大屏分区）。</w:t>
      </w:r>
    </w:p>
    <w:p>
      <w:pPr>
        <w:pStyle w:val="ListBullet"/>
        <w:spacing w:line="312" w:lineRule="auto" w:after="40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组件模板管理：将常用图元组合保存为组件模板，跨页面复用。</w:t>
      </w:r>
    </w:p>
    <w:p>
      <w:pPr>
        <w:pStyle w:val="ListBullet"/>
        <w:spacing w:line="312" w:lineRule="auto" w:after="40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图库管理：维护组态素材图片库。</w:t>
      </w:r>
    </w:p>
    <w:p>
      <w:pPr>
        <w:pStyle w:val="Heading2"/>
        <w:spacing w:before="220" w:after="100" w:line="240" w:lineRule="auto"/>
        <w:ind w:firstLineChars="0" w:firstLine="0"/>
      </w:pPr>
      <w:r>
        <w:rPr>
          <w:rFonts w:ascii="Arial" w:hAnsi="Arial" w:eastAsia="黑体"/>
          <w:b/>
          <w:i w:val="0"/>
          <w:color w:val="000000"/>
          <w:sz w:val="28"/>
        </w:rPr>
        <w:t>12.2 图元插件管理</w:t>
      </w:r>
    </w:p>
    <w:p>
      <w:pPr>
        <w:spacing w:line="360" w:lineRule="auto" w:before="0" w:after="0"/>
        <w:ind w:firstLine="480"/>
        <w:jc w:val="both"/>
      </w:pPr>
      <w:r>
        <w:rPr>
          <w:rFonts w:ascii="Arial" w:hAnsi="Arial" w:eastAsia="宋体"/>
          <w:b w:val="0"/>
          <w:i w:val="0"/>
          <w:color w:val="000000"/>
          <w:sz w:val="24"/>
        </w:rPr>
        <w:t>图元插件管理页面以分类树 + 插件列表形式展示全部目录型插件（开发模式），支持搜索、仅显示导入插件、刷新配置。插件分类与数量：</w:t>
      </w:r>
    </w:p>
    <w:p>
      <w:pPr>
        <w:spacing w:line="240" w:lineRule="auto" w:before="120" w:after="80"/>
        <w:jc w:val="center"/>
        <w:ind w:firstLineChars="0" w:firstLine="0"/>
      </w:pPr>
      <w:r>
        <w:rPr>
          <w:rFonts w:ascii="Arial" w:hAnsi="Arial" w:eastAsia="宋体"/>
          <w:b/>
          <w:i w:val="0"/>
          <w:color w:val="000000"/>
          <w:sz w:val="21"/>
        </w:rPr>
        <w:t>表 12-1 插件分类统计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8" w:color="808080"/>
          <w:left w:val="single" w:sz="8" w:color="808080"/>
          <w:bottom w:val="single" w:sz="8" w:color="808080"/>
          <w:right w:val="single" w:sz="8" w:color="808080"/>
          <w:insideH w:val="single" w:sz="4" w:color="808080"/>
          <w:insideV w:val="single" w:sz="4" w:color="808080"/>
        </w:tblBorders>
      </w:tblPr>
      <w:tblGrid>
        <w:gridCol w:w="3024"/>
        <w:gridCol w:w="3024"/>
        <w:gridCol w:w="3024"/>
      </w:tblGrid>
      <w:tr>
        <w:trPr>
          <w:cantSplit/>
          <w:tblHeader/>
        </w:trPr>
        <w:tc>
          <w:tcPr>
            <w:tcW w:type="dxa" w:w="3024"/>
            <w:vAlign w:val="center"/>
            <w:shd w:val="clear" w:color="auto" w:fill="D9D9D9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/>
                <w:i w:val="0"/>
                <w:color w:val="000000"/>
                <w:sz w:val="21"/>
              </w:rPr>
              <w:t>分类</w:t>
            </w:r>
          </w:p>
        </w:tc>
        <w:tc>
          <w:tcPr>
            <w:tcW w:type="dxa" w:w="3024"/>
            <w:vAlign w:val="center"/>
            <w:shd w:val="clear" w:color="auto" w:fill="D9D9D9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/>
                <w:i w:val="0"/>
                <w:color w:val="000000"/>
                <w:sz w:val="21"/>
              </w:rPr>
              <w:t>数量</w:t>
            </w:r>
          </w:p>
        </w:tc>
        <w:tc>
          <w:tcPr>
            <w:tcW w:type="dxa" w:w="3024"/>
            <w:vAlign w:val="center"/>
            <w:shd w:val="clear" w:color="auto" w:fill="D9D9D9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/>
                <w:i w:val="0"/>
                <w:color w:val="000000"/>
                <w:sz w:val="21"/>
              </w:rPr>
              <w:t>示例插件</w:t>
            </w:r>
          </w:p>
        </w:tc>
      </w:tr>
      <w:tr>
        <w:trPr>
          <w:cantSplit/>
        </w:trPr>
        <w:tc>
          <w:tcPr>
            <w:tcW w:type="dxa" w:w="3024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工业组件</w:t>
            </w:r>
          </w:p>
        </w:tc>
        <w:tc>
          <w:tcPr>
            <w:tcW w:type="dxa" w:w="3024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16</w:t>
            </w:r>
          </w:p>
        </w:tc>
        <w:tc>
          <w:tcPr>
            <w:tcW w:type="dxa" w:w="3024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gauge / indicator / pipe / pump / tank / valve / waterpump 等</w:t>
            </w:r>
          </w:p>
        </w:tc>
      </w:tr>
      <w:tr>
        <w:trPr>
          <w:cantSplit/>
        </w:trPr>
        <w:tc>
          <w:tcPr>
            <w:tcW w:type="dxa" w:w="3024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SVG 组件</w:t>
            </w:r>
          </w:p>
        </w:tc>
        <w:tc>
          <w:tcPr>
            <w:tcW w:type="dxa" w:w="3024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1</w:t>
            </w:r>
          </w:p>
        </w:tc>
        <w:tc>
          <w:tcPr>
            <w:tcW w:type="dxa" w:w="3024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pipe-path-svg</w:t>
            </w:r>
          </w:p>
        </w:tc>
      </w:tr>
      <w:tr>
        <w:trPr>
          <w:cantSplit/>
        </w:trPr>
        <w:tc>
          <w:tcPr>
            <w:tcW w:type="dxa" w:w="3024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工业仪表</w:t>
            </w:r>
          </w:p>
        </w:tc>
        <w:tc>
          <w:tcPr>
            <w:tcW w:type="dxa" w:w="3024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8</w:t>
            </w:r>
          </w:p>
        </w:tc>
        <w:tc>
          <w:tcPr>
            <w:tcW w:type="dxa" w:w="3024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压力表 / 温度计 / 流量计 / 液位计 / 转速表 / 湿度计 / pH 计 等</w:t>
            </w:r>
          </w:p>
        </w:tc>
      </w:tr>
      <w:tr>
        <w:trPr>
          <w:cantSplit/>
        </w:trPr>
        <w:tc>
          <w:tcPr>
            <w:tcW w:type="dxa" w:w="3024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3D 组件</w:t>
            </w:r>
          </w:p>
        </w:tc>
        <w:tc>
          <w:tcPr>
            <w:tcW w:type="dxa" w:w="3024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3</w:t>
            </w:r>
          </w:p>
        </w:tc>
        <w:tc>
          <w:tcPr>
            <w:tcW w:type="dxa" w:w="3024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3D 图元</w:t>
            </w:r>
          </w:p>
        </w:tc>
      </w:tr>
      <w:tr>
        <w:trPr>
          <w:cantSplit/>
        </w:trPr>
        <w:tc>
          <w:tcPr>
            <w:tcW w:type="dxa" w:w="3024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电力组件</w:t>
            </w:r>
          </w:p>
        </w:tc>
        <w:tc>
          <w:tcPr>
            <w:tcW w:type="dxa" w:w="3024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27</w:t>
            </w:r>
          </w:p>
        </w:tc>
        <w:tc>
          <w:tcPr>
            <w:tcW w:type="dxa" w:w="3024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ammeter / breaker / busbar / capacitor / fuse / generator / transformer 等</w:t>
            </w:r>
          </w:p>
        </w:tc>
      </w:tr>
      <w:tr>
        <w:trPr>
          <w:cantSplit/>
        </w:trPr>
        <w:tc>
          <w:tcPr>
            <w:tcW w:type="dxa" w:w="3024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矿产组件</w:t>
            </w:r>
          </w:p>
        </w:tc>
        <w:tc>
          <w:tcPr>
            <w:tcW w:type="dxa" w:w="3024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57</w:t>
            </w:r>
          </w:p>
        </w:tc>
        <w:tc>
          <w:tcPr>
            <w:tcW w:type="dxa" w:w="3024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ballmill / crusher / conveyerbelt / coolingtower 等</w:t>
            </w:r>
          </w:p>
        </w:tc>
      </w:tr>
    </w:tbl>
    <w:p>
      <w:pPr>
        <w:spacing w:after="80" w:line="240" w:lineRule="auto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12"/>
        </w:rPr>
      </w:r>
    </w:p>
    <w:p>
      <w:pPr>
        <w:keepNext/>
        <w:spacing w:before="120" w:after="40"/>
        <w:jc w:val="center"/>
        <w:ind w:firstLineChars="0" w:firstLine="0"/>
      </w:pPr>
      <w:r>
        <w:drawing>
          <wp:inline xmlns:a="http://schemas.openxmlformats.org/drawingml/2006/main" xmlns:pic="http://schemas.openxmlformats.org/drawingml/2006/picture">
            <wp:extent cx="5400000" cy="293378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3-组态管理-图元插件管理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9337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keepLines/>
        <w:spacing w:before="40" w:after="160" w:line="240" w:lineRule="auto"/>
        <w:jc w:val="center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1"/>
        </w:rPr>
        <w:t>图 12 图元插件管理页（插件分类与插件列表，配置版本 2026/9/2）</w:t>
      </w:r>
    </w:p>
    <w:p>
      <w:pPr>
        <w:pStyle w:val="Heading2"/>
        <w:spacing w:before="220" w:after="100" w:line="240" w:lineRule="auto"/>
        <w:ind w:firstLineChars="0" w:firstLine="0"/>
      </w:pPr>
      <w:r>
        <w:rPr>
          <w:rFonts w:ascii="Arial" w:hAnsi="Arial" w:eastAsia="黑体"/>
          <w:b/>
          <w:i w:val="0"/>
          <w:color w:val="000000"/>
          <w:sz w:val="28"/>
        </w:rPr>
        <w:t>12.3 插件架构与加载</w:t>
      </w:r>
    </w:p>
    <w:p>
      <w:pPr>
        <w:pStyle w:val="ListBullet"/>
        <w:spacing w:line="312" w:lineRule="auto" w:after="40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插件架构 v3：plugin-sdk 独立包，支持 5 种渲染后端（Vue 组件 / Canvas 2D / SVG DOM / CSS DOM / Three.js 3D）。</w:t>
      </w:r>
    </w:p>
    <w:p>
      <w:pPr>
        <w:pStyle w:val="ListBullet"/>
        <w:spacing w:line="312" w:lineRule="auto" w:after="40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加载模式：bundled（内置构建随系统发布）+ directory（独立构建 /plugins/分类/插件名/版本/index.mjs 动态加载），系统登录时加载插件清单。</w:t>
      </w:r>
    </w:p>
    <w:p>
      <w:pPr>
        <w:pStyle w:val="ListBullet"/>
        <w:spacing w:line="312" w:lineRule="auto" w:after="40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插件管理：支持插件独立导入 / 导出与启用 / 停用（Pro 模式），可手动将插件复制到发布目录导入系统。</w:t>
      </w:r>
    </w:p>
    <w:p>
      <w:pPr>
        <w:pStyle w:val="ListBullet"/>
        <w:spacing w:line="312" w:lineRule="auto" w:after="40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插件开发：提供 PluginCodeGenerator 代码生成器、Schema 自动生成、国际化与主题适配，三级分类树自动发现（import.meta.glob）。</w:t>
      </w:r>
    </w:p>
    <w:p>
      <w:pPr>
        <w:pStyle w:val="Heading1"/>
        <w:spacing w:before="280" w:after="120" w:line="240" w:lineRule="auto"/>
        <w:ind w:firstLineChars="0" w:firstLine="0"/>
      </w:pPr>
      <w:r>
        <w:rPr>
          <w:rFonts w:ascii="Arial" w:hAnsi="Arial" w:eastAsia="黑体"/>
          <w:b/>
          <w:i w:val="0"/>
          <w:color w:val="000000"/>
          <w:sz w:val="32"/>
        </w:rPr>
        <w:t>13. 历史数据与存储管理</w:t>
      </w:r>
    </w:p>
    <w:p>
      <w:pPr>
        <w:spacing w:line="360" w:lineRule="auto" w:before="0" w:after="0"/>
        <w:ind w:firstLine="480"/>
        <w:jc w:val="both"/>
      </w:pPr>
      <w:r>
        <w:rPr>
          <w:rFonts w:ascii="Arial" w:hAnsi="Arial" w:eastAsia="宋体"/>
          <w:b w:val="0"/>
          <w:i w:val="0"/>
          <w:color w:val="000000"/>
          <w:sz w:val="24"/>
        </w:rPr>
        <w:t>历史数据存储采用「SQLite 实时缓存 + InfluxDB 时序库」双写架构，支持多存储引擎适配：</w:t>
      </w:r>
    </w:p>
    <w:p>
      <w:pPr>
        <w:spacing w:line="240" w:lineRule="auto" w:before="120" w:after="80"/>
        <w:jc w:val="center"/>
        <w:ind w:firstLineChars="0" w:firstLine="0"/>
      </w:pPr>
      <w:r>
        <w:rPr>
          <w:rFonts w:ascii="Arial" w:hAnsi="Arial" w:eastAsia="宋体"/>
          <w:b/>
          <w:i w:val="0"/>
          <w:color w:val="000000"/>
          <w:sz w:val="21"/>
        </w:rPr>
        <w:t>表 13-1 存储管理能力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8" w:color="808080"/>
          <w:left w:val="single" w:sz="8" w:color="808080"/>
          <w:bottom w:val="single" w:sz="8" w:color="808080"/>
          <w:right w:val="single" w:sz="8" w:color="808080"/>
          <w:insideH w:val="single" w:sz="4" w:color="808080"/>
          <w:insideV w:val="single" w:sz="4" w:color="808080"/>
        </w:tblBorders>
      </w:tblPr>
      <w:tblGrid>
        <w:gridCol w:w="4536"/>
        <w:gridCol w:w="4536"/>
      </w:tblGrid>
      <w:tr>
        <w:trPr>
          <w:cantSplit/>
          <w:tblHeader/>
        </w:trPr>
        <w:tc>
          <w:tcPr>
            <w:tcW w:type="dxa" w:w="4536"/>
            <w:vAlign w:val="center"/>
            <w:shd w:val="clear" w:color="auto" w:fill="D9D9D9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/>
                <w:i w:val="0"/>
                <w:color w:val="000000"/>
                <w:sz w:val="21"/>
              </w:rPr>
              <w:t>能力</w:t>
            </w:r>
          </w:p>
        </w:tc>
        <w:tc>
          <w:tcPr>
            <w:tcW w:type="dxa" w:w="4536"/>
            <w:vAlign w:val="center"/>
            <w:shd w:val="clear" w:color="auto" w:fill="D9D9D9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/>
                <w:i w:val="0"/>
                <w:color w:val="000000"/>
                <w:sz w:val="21"/>
              </w:rPr>
              <w:t>说明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InfluxDB 时序存储</w:t>
            </w:r>
          </w:p>
        </w:tc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2.x 批量缓冲写入 + Flux 查询 + 自动降采样 Task，项目创建时自动创建 ss_node_data_{projectId} Bucket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SQLite 实时缓存</w:t>
            </w:r>
          </w:p>
        </w:tc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tag_latest 表 + UPSERT 最新值缓存，O(1) 最新值查询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存储引擎适配</w:t>
            </w:r>
          </w:p>
        </w:tc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统一 StorageAdapter 接口，支持 InfluxDB / MySQL / MongoDB 切换与数据迁移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数据归档清理</w:t>
            </w:r>
          </w:p>
        </w:tc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冷热数据分离 + 自动过期清理 + 保留策略（RP），按项目隔离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历史数据查询</w:t>
            </w:r>
          </w:p>
        </w:tc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统一查询接口 + 多引擎适配 + 查询缓存 + 聚合（avg/max/min/sum/count/std）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存储健康监控</w:t>
            </w:r>
          </w:p>
        </w:tc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连接状态 + 容量 + 性能 + 告警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InfluxDB 一键初始化</w:t>
            </w:r>
          </w:p>
        </w:tc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首次部署时通过前端/API 自动完成 setup（创建 org/bucket/token），Token 自动回写配置</w:t>
            </w:r>
          </w:p>
        </w:tc>
      </w:tr>
    </w:tbl>
    <w:p>
      <w:pPr>
        <w:spacing w:after="80" w:line="240" w:lineRule="auto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12"/>
        </w:rPr>
      </w:r>
    </w:p>
    <w:p>
      <w:pPr>
        <w:spacing w:line="360" w:lineRule="auto" w:before="0" w:after="0"/>
        <w:ind w:firstLine="480"/>
        <w:jc w:val="both"/>
      </w:pPr>
      <w:r>
        <w:rPr>
          <w:rFonts w:ascii="Arial" w:hAnsi="Arial" w:eastAsia="宋体"/>
          <w:b w:val="0"/>
          <w:i w:val="0"/>
          <w:color w:val="000000"/>
          <w:sz w:val="24"/>
        </w:rPr>
        <w:t>历史数据保留天数可在项目配置中设置，超期数据按保留策略自动清理，避免存储无限增长。</w:t>
      </w:r>
    </w:p>
    <w:p>
      <w:pPr>
        <w:pStyle w:val="Heading1"/>
        <w:spacing w:before="280" w:after="120" w:line="240" w:lineRule="auto"/>
        <w:ind w:firstLineChars="0" w:firstLine="0"/>
      </w:pPr>
      <w:r>
        <w:rPr>
          <w:rFonts w:ascii="Arial" w:hAnsi="Arial" w:eastAsia="黑体"/>
          <w:b/>
          <w:i w:val="0"/>
          <w:color w:val="000000"/>
          <w:sz w:val="32"/>
        </w:rPr>
        <w:t>14. 系统管理</w:t>
      </w:r>
    </w:p>
    <w:p>
      <w:pPr>
        <w:pStyle w:val="Heading2"/>
        <w:spacing w:before="220" w:after="100" w:line="240" w:lineRule="auto"/>
        <w:ind w:firstLineChars="0" w:firstLine="0"/>
      </w:pPr>
      <w:r>
        <w:rPr>
          <w:rFonts w:ascii="Arial" w:hAnsi="Arial" w:eastAsia="黑体"/>
          <w:b/>
          <w:i w:val="0"/>
          <w:color w:val="000000"/>
          <w:sz w:val="28"/>
        </w:rPr>
        <w:t>14.1 系统设置（外观与布局）</w:t>
      </w:r>
    </w:p>
    <w:p>
      <w:pPr>
        <w:spacing w:line="360" w:lineRule="auto" w:before="0" w:after="0"/>
        <w:ind w:firstLine="480"/>
        <w:jc w:val="both"/>
      </w:pPr>
      <w:r>
        <w:rPr>
          <w:rFonts w:ascii="Arial" w:hAnsi="Arial" w:eastAsia="宋体"/>
          <w:b w:val="0"/>
          <w:i w:val="0"/>
          <w:color w:val="000000"/>
          <w:sz w:val="24"/>
        </w:rPr>
        <w:t>进入「系统管理 → 系统设置」，可配置：</w:t>
      </w:r>
    </w:p>
    <w:p>
      <w:pPr>
        <w:pStyle w:val="ListBullet"/>
        <w:spacing w:line="312" w:lineRule="auto" w:after="40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语言：中文 / English 切换（全界面 i18n）。</w:t>
      </w:r>
    </w:p>
    <w:p>
      <w:pPr>
        <w:pStyle w:val="ListBullet"/>
        <w:spacing w:line="312" w:lineRule="auto" w:after="40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外观主题：浅色 / 深色 / 高对比度 / 蓝色主题 / 经典 / 企业蓝 / 科技深蓝 / 科技浅蓝 / 蓝色浅色 / 蓝色深色 / 科技绿 / 暖橙 等 12 款一键切换。</w:t>
      </w:r>
    </w:p>
    <w:p>
      <w:pPr>
        <w:pStyle w:val="ListBullet"/>
        <w:spacing w:line="312" w:lineRule="auto" w:after="40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主题信息：当前主题、主色调、背景色、文字色。</w:t>
      </w:r>
    </w:p>
    <w:p>
      <w:pPr>
        <w:pStyle w:val="ListBullet"/>
        <w:spacing w:line="312" w:lineRule="auto" w:after="40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布局配置：顶部栏高度（48/64/80px）、侧栏宽度（160/220/280px）滑块调节。</w:t>
      </w:r>
    </w:p>
    <w:p>
      <w:pPr>
        <w:pStyle w:val="ListBullet"/>
        <w:spacing w:line="312" w:lineRule="auto" w:after="40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AI 助手面板：开关控制数据中台可拖动的 AI 助手浮动面板。</w:t>
      </w:r>
    </w:p>
    <w:p>
      <w:pPr>
        <w:keepNext/>
        <w:spacing w:before="120" w:after="40"/>
        <w:jc w:val="center"/>
        <w:ind w:firstLineChars="0" w:firstLine="0"/>
      </w:pPr>
      <w:r>
        <w:drawing>
          <wp:inline xmlns:a="http://schemas.openxmlformats.org/drawingml/2006/main" xmlns:pic="http://schemas.openxmlformats.org/drawingml/2006/picture">
            <wp:extent cx="5400000" cy="293378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-系统管理-系统设置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9337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keepLines/>
        <w:spacing w:before="40" w:after="160" w:line="240" w:lineRule="auto"/>
        <w:jc w:val="center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1"/>
        </w:rPr>
        <w:t>图 13 系统设置页（深色主题，主色调 #4A90D9）</w:t>
      </w:r>
    </w:p>
    <w:p>
      <w:pPr>
        <w:pStyle w:val="Heading2"/>
        <w:spacing w:before="220" w:after="100" w:line="240" w:lineRule="auto"/>
        <w:ind w:firstLineChars="0" w:firstLine="0"/>
      </w:pPr>
      <w:r>
        <w:rPr>
          <w:rFonts w:ascii="Arial" w:hAnsi="Arial" w:eastAsia="黑体"/>
          <w:b/>
          <w:i w:val="0"/>
          <w:color w:val="000000"/>
          <w:sz w:val="28"/>
        </w:rPr>
        <w:t>14.2 用户管理</w:t>
      </w:r>
    </w:p>
    <w:p>
      <w:pPr>
        <w:spacing w:line="360" w:lineRule="auto" w:before="0" w:after="0"/>
        <w:ind w:firstLine="480"/>
        <w:jc w:val="both"/>
      </w:pPr>
      <w:r>
        <w:rPr>
          <w:rFonts w:ascii="Arial" w:hAnsi="Arial" w:eastAsia="宋体"/>
          <w:b w:val="0"/>
          <w:i w:val="0"/>
          <w:color w:val="000000"/>
          <w:sz w:val="24"/>
        </w:rPr>
        <w:t>用户管理维护系统账号：用户名、显示名称、角色、岗位、状态（启用/禁用）、创建时间，支持新建用户、列配置、导出；管理员可强制下线指定用户。</w:t>
      </w:r>
    </w:p>
    <w:p>
      <w:pPr>
        <w:keepNext/>
        <w:spacing w:before="120" w:after="40"/>
        <w:jc w:val="center"/>
        <w:ind w:firstLineChars="0" w:firstLine="0"/>
      </w:pPr>
      <w:r>
        <w:drawing>
          <wp:inline xmlns:a="http://schemas.openxmlformats.org/drawingml/2006/main" xmlns:pic="http://schemas.openxmlformats.org/drawingml/2006/picture">
            <wp:extent cx="5400000" cy="293378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-系统管理-用户管理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9337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keepLines/>
        <w:spacing w:before="40" w:after="160" w:line="240" w:lineRule="auto"/>
        <w:jc w:val="center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1"/>
        </w:rPr>
        <w:t>图 14 用户管理页（admin / 微信测试用户 / 测试用户 等）</w:t>
      </w:r>
    </w:p>
    <w:p>
      <w:pPr>
        <w:pStyle w:val="Heading2"/>
        <w:spacing w:before="220" w:after="100" w:line="240" w:lineRule="auto"/>
        <w:ind w:firstLineChars="0" w:firstLine="0"/>
      </w:pPr>
      <w:r>
        <w:rPr>
          <w:rFonts w:ascii="Arial" w:hAnsi="Arial" w:eastAsia="黑体"/>
          <w:b/>
          <w:i w:val="0"/>
          <w:color w:val="000000"/>
          <w:sz w:val="28"/>
        </w:rPr>
        <w:t>14.3 角色与权限（RBAC）</w:t>
      </w:r>
    </w:p>
    <w:p>
      <w:pPr>
        <w:spacing w:line="240" w:lineRule="auto" w:before="120" w:after="80"/>
        <w:jc w:val="center"/>
        <w:ind w:firstLineChars="0" w:firstLine="0"/>
      </w:pPr>
      <w:r>
        <w:rPr>
          <w:rFonts w:ascii="Arial" w:hAnsi="Arial" w:eastAsia="宋体"/>
          <w:b/>
          <w:i w:val="0"/>
          <w:color w:val="000000"/>
          <w:sz w:val="21"/>
        </w:rPr>
        <w:t>表 14-1 RBAC 权限体系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8" w:color="808080"/>
          <w:left w:val="single" w:sz="8" w:color="808080"/>
          <w:bottom w:val="single" w:sz="8" w:color="808080"/>
          <w:right w:val="single" w:sz="8" w:color="808080"/>
          <w:insideH w:val="single" w:sz="4" w:color="808080"/>
          <w:insideV w:val="single" w:sz="4" w:color="808080"/>
        </w:tblBorders>
      </w:tblPr>
      <w:tblGrid>
        <w:gridCol w:w="4536"/>
        <w:gridCol w:w="4536"/>
      </w:tblGrid>
      <w:tr>
        <w:trPr>
          <w:cantSplit/>
          <w:tblHeader/>
        </w:trPr>
        <w:tc>
          <w:tcPr>
            <w:tcW w:type="dxa" w:w="4536"/>
            <w:vAlign w:val="center"/>
            <w:shd w:val="clear" w:color="auto" w:fill="D9D9D9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/>
                <w:i w:val="0"/>
                <w:color w:val="000000"/>
                <w:sz w:val="21"/>
              </w:rPr>
              <w:t>权限层级</w:t>
            </w:r>
          </w:p>
        </w:tc>
        <w:tc>
          <w:tcPr>
            <w:tcW w:type="dxa" w:w="4536"/>
            <w:vAlign w:val="center"/>
            <w:shd w:val="clear" w:color="auto" w:fill="D9D9D9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/>
                <w:i w:val="0"/>
                <w:color w:val="000000"/>
                <w:sz w:val="21"/>
              </w:rPr>
              <w:t>说明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角色权限</w:t>
            </w:r>
          </w:p>
        </w:tc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三级角色（admin / user / viewer）+ 权限矩阵，角色可自定义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菜单权限</w:t>
            </w:r>
          </w:p>
        </w:tc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sys_menus 角色字段过滤，按角色控制菜单可见性，子系统隔离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按钮权限</w:t>
            </w:r>
          </w:p>
        </w:tc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50+ 权限码（命名 {module}:{action}，如 device:create），admin 拥有 *:* 全部权限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数据权限</w:t>
            </w:r>
          </w:p>
        </w:tc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三级数据范围（项目 → 设备分组 → 设备）+ 3 张授权表，实现数据按权限可见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审计</w:t>
            </w:r>
          </w:p>
        </w:tc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权限变更审计日志（sys_permission_audit_logs）</w:t>
            </w:r>
          </w:p>
        </w:tc>
      </w:tr>
    </w:tbl>
    <w:p>
      <w:pPr>
        <w:spacing w:after="80" w:line="240" w:lineRule="auto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12"/>
        </w:rPr>
      </w:r>
    </w:p>
    <w:p>
      <w:pPr>
        <w:pStyle w:val="Heading2"/>
        <w:spacing w:before="220" w:after="100" w:line="240" w:lineRule="auto"/>
        <w:ind w:firstLineChars="0" w:firstLine="0"/>
      </w:pPr>
      <w:r>
        <w:rPr>
          <w:rFonts w:ascii="Arial" w:hAnsi="Arial" w:eastAsia="黑体"/>
          <w:b/>
          <w:i w:val="0"/>
          <w:color w:val="000000"/>
          <w:sz w:val="28"/>
        </w:rPr>
        <w:t>14.4 岗位管理</w:t>
      </w:r>
    </w:p>
    <w:p>
      <w:pPr>
        <w:spacing w:line="360" w:lineRule="auto" w:before="0" w:after="0"/>
        <w:ind w:firstLine="480"/>
        <w:jc w:val="both"/>
      </w:pPr>
      <w:r>
        <w:rPr>
          <w:rFonts w:ascii="Arial" w:hAnsi="Arial" w:eastAsia="宋体"/>
          <w:b w:val="0"/>
          <w:i w:val="0"/>
          <w:color w:val="000000"/>
          <w:sz w:val="24"/>
        </w:rPr>
        <w:t>维护岗位体系，岗位与用户、权限关联，便于组织化管理。</w:t>
      </w:r>
    </w:p>
    <w:p>
      <w:pPr>
        <w:pStyle w:val="Heading2"/>
        <w:spacing w:before="220" w:after="100" w:line="240" w:lineRule="auto"/>
        <w:ind w:firstLineChars="0" w:firstLine="0"/>
      </w:pPr>
      <w:r>
        <w:rPr>
          <w:rFonts w:ascii="Arial" w:hAnsi="Arial" w:eastAsia="黑体"/>
          <w:b/>
          <w:i w:val="0"/>
          <w:color w:val="000000"/>
          <w:sz w:val="28"/>
        </w:rPr>
        <w:t>14.5 数据字典</w:t>
      </w:r>
    </w:p>
    <w:p>
      <w:pPr>
        <w:spacing w:line="360" w:lineRule="auto" w:before="0" w:after="0"/>
        <w:ind w:firstLine="480"/>
        <w:jc w:val="both"/>
      </w:pPr>
      <w:r>
        <w:rPr>
          <w:rFonts w:ascii="Arial" w:hAnsi="Arial" w:eastAsia="宋体"/>
          <w:b w:val="0"/>
          <w:i w:val="0"/>
          <w:color w:val="000000"/>
          <w:sz w:val="24"/>
        </w:rPr>
        <w:t>维护基础枚举（标签类型、设备类型、协议类型、报警状态、数据质量等 12 张内置字典表），JSON 文件化存储、按语言分目录、运行时热加载，前端 DictView 可视化维护。</w:t>
      </w:r>
    </w:p>
    <w:p>
      <w:pPr>
        <w:pStyle w:val="Heading2"/>
        <w:spacing w:before="220" w:after="100" w:line="240" w:lineRule="auto"/>
        <w:ind w:firstLineChars="0" w:firstLine="0"/>
      </w:pPr>
      <w:r>
        <w:rPr>
          <w:rFonts w:ascii="Arial" w:hAnsi="Arial" w:eastAsia="黑体"/>
          <w:b/>
          <w:i w:val="0"/>
          <w:color w:val="000000"/>
          <w:sz w:val="28"/>
        </w:rPr>
        <w:t>14.6 知识库</w:t>
      </w:r>
    </w:p>
    <w:p>
      <w:pPr>
        <w:spacing w:line="360" w:lineRule="auto" w:before="0" w:after="0"/>
        <w:ind w:firstLine="480"/>
        <w:jc w:val="both"/>
      </w:pPr>
      <w:r>
        <w:rPr>
          <w:rFonts w:ascii="Arial" w:hAnsi="Arial" w:eastAsia="宋体"/>
          <w:b w:val="0"/>
          <w:i w:val="0"/>
          <w:color w:val="000000"/>
          <w:sz w:val="24"/>
        </w:rPr>
        <w:t>产品文档与操作指南管理：支持多产品架构（ss-data + ss-scada）、目录树、文章读取与更新、全文搜索、上下文感知帮助（路由匹配），并作为 AI 问答的知识来源。</w:t>
      </w:r>
    </w:p>
    <w:p>
      <w:pPr>
        <w:pStyle w:val="Heading1"/>
        <w:spacing w:before="280" w:after="120" w:line="240" w:lineRule="auto"/>
        <w:ind w:firstLineChars="0" w:firstLine="0"/>
      </w:pPr>
      <w:r>
        <w:rPr>
          <w:rFonts w:ascii="Arial" w:hAnsi="Arial" w:eastAsia="黑体"/>
          <w:b/>
          <w:i w:val="0"/>
          <w:color w:val="000000"/>
          <w:sz w:val="32"/>
        </w:rPr>
        <w:t>15. 系统运维与日志</w:t>
      </w:r>
    </w:p>
    <w:p>
      <w:pPr>
        <w:pStyle w:val="Heading2"/>
        <w:spacing w:before="220" w:after="100" w:line="240" w:lineRule="auto"/>
        <w:ind w:firstLineChars="0" w:firstLine="0"/>
      </w:pPr>
      <w:r>
        <w:rPr>
          <w:rFonts w:ascii="Arial" w:hAnsi="Arial" w:eastAsia="黑体"/>
          <w:b/>
          <w:i w:val="0"/>
          <w:color w:val="000000"/>
          <w:sz w:val="28"/>
        </w:rPr>
        <w:t>15.1 系统运维</w:t>
      </w:r>
    </w:p>
    <w:p>
      <w:pPr>
        <w:pStyle w:val="ListBullet"/>
        <w:spacing w:line="312" w:lineRule="auto" w:after="40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系统信息：版本、构建信息、运行时间、内存 / CPU 信息。</w:t>
      </w:r>
    </w:p>
    <w:p>
      <w:pPr>
        <w:pStyle w:val="ListBullet"/>
        <w:spacing w:line="312" w:lineRule="auto" w:after="40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系统健康：服务健康状态检查（/health，含 InfluxDB 真实健康探针与 Pipeline 指标）。</w:t>
      </w:r>
    </w:p>
    <w:p>
      <w:pPr>
        <w:pStyle w:val="ListBullet"/>
        <w:spacing w:line="312" w:lineRule="auto" w:after="40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系统资源监控：CPU / 内存 / 磁盘 / 数据库连接数实时监控。</w:t>
      </w:r>
    </w:p>
    <w:p>
      <w:pPr>
        <w:pStyle w:val="ListBullet"/>
        <w:spacing w:line="312" w:lineRule="auto" w:after="40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数据库运维：数据库状态与维护，数据备份恢复（SQLite 备份 + InfluxDB backup + 定时调度）。</w:t>
      </w:r>
    </w:p>
    <w:p>
      <w:pPr>
        <w:pStyle w:val="ListBullet"/>
        <w:spacing w:line="312" w:lineRule="auto" w:after="40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基础服务：依赖服务（InfluxDB / Redis 等）状态。</w:t>
      </w:r>
    </w:p>
    <w:p>
      <w:pPr>
        <w:pStyle w:val="ListBullet"/>
        <w:spacing w:line="312" w:lineRule="auto" w:after="40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WebSocket 监控：实时推送连接监控（活跃连接数、消息速率、错误率）。</w:t>
      </w:r>
    </w:p>
    <w:p>
      <w:pPr>
        <w:pStyle w:val="ListBullet"/>
        <w:spacing w:line="312" w:lineRule="auto" w:after="40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系统初始化向导：首次部署引导创建管理员账户与基本配置。</w:t>
      </w:r>
    </w:p>
    <w:p>
      <w:pPr>
        <w:pStyle w:val="ListBullet"/>
        <w:spacing w:line="312" w:lineRule="auto" w:after="40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系统升级迁移：版本检测 + 数据库迁移 + 自动备份 + 回滚。</w:t>
      </w:r>
    </w:p>
    <w:p>
      <w:pPr>
        <w:pStyle w:val="ListBullet"/>
        <w:spacing w:line="312" w:lineRule="auto" w:after="40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Web 终端：浏览器内受控 Shell，危险命令自动拦截，WebSocket 实时交互。</w:t>
      </w:r>
    </w:p>
    <w:p>
      <w:pPr>
        <w:pStyle w:val="ListBullet"/>
        <w:spacing w:line="312" w:lineRule="auto" w:after="40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菜单管理 / 通知渠道 / 定时器配置 / MCP 管理 / 定时任务：系统级配置与运维能力。</w:t>
      </w:r>
    </w:p>
    <w:p>
      <w:pPr>
        <w:pStyle w:val="Heading2"/>
        <w:spacing w:before="220" w:after="100" w:line="240" w:lineRule="auto"/>
        <w:ind w:firstLineChars="0" w:firstLine="0"/>
      </w:pPr>
      <w:r>
        <w:rPr>
          <w:rFonts w:ascii="Arial" w:hAnsi="Arial" w:eastAsia="黑体"/>
          <w:b/>
          <w:i w:val="0"/>
          <w:color w:val="000000"/>
          <w:sz w:val="28"/>
        </w:rPr>
        <w:t>15.2 系统日志</w:t>
      </w:r>
    </w:p>
    <w:p>
      <w:pPr>
        <w:pStyle w:val="ListBullet"/>
        <w:spacing w:line="312" w:lineRule="auto" w:after="40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权限审计：登录、权限变更审计。</w:t>
      </w:r>
    </w:p>
    <w:p>
      <w:pPr>
        <w:pStyle w:val="ListBullet"/>
        <w:spacing w:line="312" w:lineRule="auto" w:after="40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错误日志 / 应用日志 / 操作日志 / 事件日志 / 安全审计：分级日志追溯，支持查看、搜索、级别过滤与导出。</w:t>
      </w:r>
    </w:p>
    <w:p>
      <w:pPr>
        <w:pStyle w:val="Heading2"/>
        <w:spacing w:before="220" w:after="100" w:line="240" w:lineRule="auto"/>
        <w:ind w:firstLineChars="0" w:firstLine="0"/>
      </w:pPr>
      <w:r>
        <w:rPr>
          <w:rFonts w:ascii="Arial" w:hAnsi="Arial" w:eastAsia="黑体"/>
          <w:b/>
          <w:i w:val="0"/>
          <w:color w:val="000000"/>
          <w:sz w:val="28"/>
        </w:rPr>
        <w:t>15.3 API 与开发支持</w:t>
      </w:r>
    </w:p>
    <w:p>
      <w:pPr>
        <w:pStyle w:val="ListBullet"/>
        <w:spacing w:line="312" w:lineRule="auto" w:after="40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Swagger 在线文档：OpenAPI 3.0 在线文档 + 在线调试（40+ 标准化 API 端点）。</w:t>
      </w:r>
    </w:p>
    <w:p>
      <w:pPr>
        <w:pStyle w:val="ListBullet"/>
        <w:spacing w:line="312" w:lineRule="auto" w:after="40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接口规范：统一 ApiResponse&lt;T&gt; 响应包装、速率限制（登录优先）、请求审计日志、CORS 白名单。</w:t>
      </w:r>
    </w:p>
    <w:p>
      <w:pPr>
        <w:pStyle w:val="ListBullet"/>
        <w:spacing w:line="312" w:lineRule="auto" w:after="40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24"/>
        </w:rPr>
        <w:t>SDK 工具：官方 API 客户端 SDK（REST 封装 + JWT 自动续期 + WebSocket 客户端 + 错误码映射）。</w:t>
      </w:r>
    </w:p>
    <w:p>
      <w:pPr>
        <w:pStyle w:val="Heading1"/>
        <w:spacing w:before="280" w:after="120" w:line="240" w:lineRule="auto"/>
        <w:ind w:firstLineChars="0" w:firstLine="0"/>
      </w:pPr>
      <w:r>
        <w:rPr>
          <w:rFonts w:ascii="Arial" w:hAnsi="Arial" w:eastAsia="黑体"/>
          <w:b/>
          <w:i w:val="0"/>
          <w:color w:val="000000"/>
          <w:sz w:val="32"/>
        </w:rPr>
        <w:t>16. 常见问题</w:t>
      </w:r>
    </w:p>
    <w:p>
      <w:pPr>
        <w:spacing w:line="240" w:lineRule="auto" w:before="120" w:after="80"/>
        <w:jc w:val="center"/>
        <w:ind w:firstLineChars="0" w:firstLine="0"/>
      </w:pPr>
      <w:r>
        <w:rPr>
          <w:rFonts w:ascii="Arial" w:hAnsi="Arial" w:eastAsia="宋体"/>
          <w:b/>
          <w:i w:val="0"/>
          <w:color w:val="000000"/>
          <w:sz w:val="21"/>
        </w:rPr>
        <w:t>表 16-1 常见问题与处理建议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8" w:color="808080"/>
          <w:left w:val="single" w:sz="8" w:color="808080"/>
          <w:bottom w:val="single" w:sz="8" w:color="808080"/>
          <w:right w:val="single" w:sz="8" w:color="808080"/>
          <w:insideH w:val="single" w:sz="4" w:color="808080"/>
          <w:insideV w:val="single" w:sz="4" w:color="808080"/>
        </w:tblBorders>
      </w:tblPr>
      <w:tblGrid>
        <w:gridCol w:w="4536"/>
        <w:gridCol w:w="4536"/>
      </w:tblGrid>
      <w:tr>
        <w:trPr>
          <w:cantSplit/>
          <w:tblHeader/>
        </w:trPr>
        <w:tc>
          <w:tcPr>
            <w:tcW w:type="dxa" w:w="4536"/>
            <w:vAlign w:val="center"/>
            <w:shd w:val="clear" w:color="auto" w:fill="D9D9D9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/>
                <w:i w:val="0"/>
                <w:color w:val="000000"/>
                <w:sz w:val="21"/>
              </w:rPr>
              <w:t>问题</w:t>
            </w:r>
          </w:p>
        </w:tc>
        <w:tc>
          <w:tcPr>
            <w:tcW w:type="dxa" w:w="4536"/>
            <w:vAlign w:val="center"/>
            <w:shd w:val="clear" w:color="auto" w:fill="D9D9D9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/>
                <w:i w:val="0"/>
                <w:color w:val="000000"/>
                <w:sz w:val="21"/>
              </w:rPr>
              <w:t>处理建议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设备采集不到数据</w:t>
            </w:r>
          </w:p>
        </w:tc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检查协议连接参数、从站地址与变量地址；确认采集通道状态；使用虚拟采集插件验证链路；查看数据质量标记是否为 comm_error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组态画面不显示实时值</w:t>
            </w:r>
          </w:p>
        </w:tc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确认图元已绑定标签、标签有实时值；检查 WebSocket 连接状态；编辑器预览时数据正常则检查运行态配置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目录型插件加载失败（404）</w:t>
            </w:r>
          </w:p>
        </w:tc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确认插件已发布到对应插件目录（/plugins/分类/插件名/版本/）且版本号正确；检查浏览器控制台 404 地址；重新构建前端发布；本地 dev 模式需先发布插件到 nginx 对应目录再启动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页面保存失败（413）</w:t>
            </w:r>
          </w:p>
        </w:tc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画面 JSON 体积过大（大量内联图片或超长脚本）；拆分页面或调整服务端请求体上限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忘记管理员密码</w:t>
            </w:r>
          </w:p>
        </w:tc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通过调试模式 / 数据库重置管理员账号，或联系技术支持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打开编辑器一直「正在加载中」</w:t>
            </w:r>
          </w:p>
        </w:tc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Vite 依赖预构建缓存损坏（开发环境）；按项目 bin 脚本清理缓存重启，或重新构建发布（生产）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开关量图元绑定模拟量不生效</w:t>
            </w:r>
          </w:p>
        </w:tc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在映射配置中选择「阈值分段映射」并设置分段阈值，将模拟量按区间映射到多个状态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仪表图元指针不显示</w:t>
            </w:r>
          </w:p>
        </w:tc>
        <w:tc>
          <w:tcPr>
            <w:tcW w:type="dxa" w:w="4536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检查指针绘制代码是否生效（发布后需清缓存强刷）；确认指针位置定位配置未越界</w:t>
            </w:r>
          </w:p>
        </w:tc>
      </w:tr>
    </w:tbl>
    <w:p>
      <w:pPr>
        <w:spacing w:after="80" w:line="240" w:lineRule="auto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12"/>
        </w:rPr>
      </w:r>
    </w:p>
    <w:p>
      <w:pPr>
        <w:pStyle w:val="Heading1"/>
        <w:spacing w:before="280" w:after="120" w:line="240" w:lineRule="auto"/>
        <w:ind w:firstLineChars="0" w:firstLine="0"/>
      </w:pPr>
      <w:r>
        <w:rPr>
          <w:rFonts w:ascii="Arial" w:hAnsi="Arial" w:eastAsia="黑体"/>
          <w:b/>
          <w:i w:val="0"/>
          <w:color w:val="000000"/>
          <w:sz w:val="32"/>
        </w:rPr>
        <w:t>17. 更新记录</w:t>
      </w:r>
    </w:p>
    <w:p>
      <w:pPr>
        <w:spacing w:line="240" w:lineRule="auto" w:before="120" w:after="80"/>
        <w:jc w:val="center"/>
        <w:ind w:firstLineChars="0" w:firstLine="0"/>
      </w:pPr>
      <w:r>
        <w:rPr>
          <w:rFonts w:ascii="Arial" w:hAnsi="Arial" w:eastAsia="宋体"/>
          <w:b/>
          <w:i w:val="0"/>
          <w:color w:val="000000"/>
          <w:sz w:val="21"/>
        </w:rPr>
        <w:t>表 17-1 更新记录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8" w:color="808080"/>
          <w:left w:val="single" w:sz="8" w:color="808080"/>
          <w:bottom w:val="single" w:sz="8" w:color="808080"/>
          <w:right w:val="single" w:sz="8" w:color="808080"/>
          <w:insideH w:val="single" w:sz="4" w:color="808080"/>
          <w:insideV w:val="single" w:sz="4" w:color="808080"/>
        </w:tblBorders>
      </w:tblPr>
      <w:tblGrid>
        <w:gridCol w:w="2268"/>
        <w:gridCol w:w="2268"/>
        <w:gridCol w:w="2268"/>
        <w:gridCol w:w="2268"/>
      </w:tblGrid>
      <w:tr>
        <w:trPr>
          <w:cantSplit/>
          <w:tblHeader/>
        </w:trPr>
        <w:tc>
          <w:tcPr>
            <w:tcW w:type="dxa" w:w="2268"/>
            <w:vAlign w:val="center"/>
            <w:shd w:val="clear" w:color="auto" w:fill="D9D9D9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/>
                <w:i w:val="0"/>
                <w:color w:val="000000"/>
                <w:sz w:val="21"/>
              </w:rPr>
              <w:t>版本</w:t>
            </w:r>
          </w:p>
        </w:tc>
        <w:tc>
          <w:tcPr>
            <w:tcW w:type="dxa" w:w="2268"/>
            <w:vAlign w:val="center"/>
            <w:shd w:val="clear" w:color="auto" w:fill="D9D9D9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/>
                <w:i w:val="0"/>
                <w:color w:val="000000"/>
                <w:sz w:val="21"/>
              </w:rPr>
              <w:t>日期</w:t>
            </w:r>
          </w:p>
        </w:tc>
        <w:tc>
          <w:tcPr>
            <w:tcW w:type="dxa" w:w="2268"/>
            <w:vAlign w:val="center"/>
            <w:shd w:val="clear" w:color="auto" w:fill="D9D9D9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/>
                <w:i w:val="0"/>
                <w:color w:val="000000"/>
                <w:sz w:val="21"/>
              </w:rPr>
              <w:t>更新内容</w:t>
            </w:r>
          </w:p>
        </w:tc>
        <w:tc>
          <w:tcPr>
            <w:tcW w:type="dxa" w:w="2268"/>
            <w:vAlign w:val="center"/>
            <w:shd w:val="clear" w:color="auto" w:fill="D9D9D9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/>
                <w:i w:val="0"/>
                <w:color w:val="000000"/>
                <w:sz w:val="21"/>
              </w:rPr>
              <w:t>模型</w:t>
            </w:r>
          </w:p>
        </w:tc>
      </w:tr>
      <w:tr>
        <w:trPr>
          <w:cantSplit/>
        </w:trPr>
        <w:tc>
          <w:tcPr>
            <w:tcW w:type="dxa" w:w="2268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v3.0</w:t>
            </w:r>
          </w:p>
        </w:tc>
        <w:tc>
          <w:tcPr>
            <w:tcW w:type="dxa" w:w="2268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2026-09-16</w:t>
            </w:r>
          </w:p>
        </w:tc>
        <w:tc>
          <w:tcPr>
            <w:tcW w:type="dxa" w:w="2268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对照功能列表全面细化：新增「趋势图与图表」「历史数据与存储管理」章节；细化登录安全（双 Token / MFA / 会话管理）、项目管理（页面管理/项目配置/复制）、设备管理（五态状态机/诊断/仿真/权限）、设备模板与数据标签（模板状态机/克隆/应用/批量同步、标签 8 类型/转换/死区/限值/导入导出）、采集管理（8 步 Pipeline/质量码/WebSocket 推送）、事件中心（通知渠道/确认备注/抑制/升级/统计）、脚本管理（Cron/事件驱动/API/模板市场）、组态编辑器（图元编辑/动画/数据源/脚本表达式/运行态能力）、系统管理（RBAC 权限体系/数据字典/知识库）、系统运维（备份恢复/升级迁移/Web 终端/API 开发支持）；常见问题补充开关量与仪表图元条目</w:t>
            </w:r>
          </w:p>
        </w:tc>
        <w:tc>
          <w:tcPr>
            <w:tcW w:type="dxa" w:w="2268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Doubao</w:t>
            </w:r>
          </w:p>
        </w:tc>
      </w:tr>
      <w:tr>
        <w:trPr>
          <w:cantSplit/>
        </w:trPr>
        <w:tc>
          <w:tcPr>
            <w:tcW w:type="dxa" w:w="2268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v2.0</w:t>
            </w:r>
          </w:p>
        </w:tc>
        <w:tc>
          <w:tcPr>
            <w:tcW w:type="dxa" w:w="2268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2026-09-16</w:t>
            </w:r>
          </w:p>
        </w:tc>
        <w:tc>
          <w:tcPr>
            <w:tcW w:type="dxa" w:w="2268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详细版：基于 5173 实际运行界面重写，新增 14 张真实界面截图（项目管理 / 组态编辑器 / 图元面板 / 设备管理 / 设备模板 / 采集管理 / 事件中心 / 脚本 / 报表 / 系统设置 / 用户管理 / 图元插件管理），细化项目使用全流程</w:t>
            </w:r>
          </w:p>
        </w:tc>
        <w:tc>
          <w:tcPr>
            <w:tcW w:type="dxa" w:w="2268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Doubao</w:t>
            </w:r>
          </w:p>
        </w:tc>
      </w:tr>
      <w:tr>
        <w:trPr>
          <w:cantSplit/>
        </w:trPr>
        <w:tc>
          <w:tcPr>
            <w:tcW w:type="dxa" w:w="2268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v1.0</w:t>
            </w:r>
          </w:p>
        </w:tc>
        <w:tc>
          <w:tcPr>
            <w:tcW w:type="dxa" w:w="2268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2026-09-16</w:t>
            </w:r>
          </w:p>
        </w:tc>
        <w:tc>
          <w:tcPr>
            <w:tcW w:type="dxa" w:w="2268"/>
            <w:vAlign w:val="center"/>
          </w:tcPr>
          <w:p>
            <w:pPr>
              <w:spacing w:line="240" w:lineRule="auto" w:before="0" w:after="0"/>
              <w:jc w:val="left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初始版本：基于产品现状编写，覆盖数据中台与组态可视化全操作链路</w:t>
            </w:r>
          </w:p>
        </w:tc>
        <w:tc>
          <w:tcPr>
            <w:tcW w:type="dxa" w:w="2268"/>
            <w:vAlign w:val="center"/>
          </w:tcPr>
          <w:p>
            <w:pPr>
              <w:spacing w:line="240" w:lineRule="auto" w:before="0" w:after="0"/>
              <w:jc w:val="center"/>
              <w:ind w:firstLineChars="0" w:firstLine="0"/>
            </w:pPr>
            <w:r>
              <w:rPr>
                <w:rFonts w:ascii="Arial" w:hAnsi="Arial" w:eastAsia="宋体"/>
                <w:b w:val="0"/>
                <w:i w:val="0"/>
                <w:color w:val="000000"/>
                <w:sz w:val="21"/>
              </w:rPr>
              <w:t>Doubao</w:t>
            </w:r>
          </w:p>
        </w:tc>
      </w:tr>
    </w:tbl>
    <w:p>
      <w:pPr>
        <w:spacing w:after="80" w:line="240" w:lineRule="auto"/>
        <w:ind w:firstLineChars="0" w:firstLine="0"/>
      </w:pPr>
      <w:r>
        <w:rPr>
          <w:rFonts w:ascii="Arial" w:hAnsi="Arial" w:eastAsia="宋体"/>
          <w:b w:val="0"/>
          <w:i w:val="0"/>
          <w:color w:val="000000"/>
          <w:sz w:val="12"/>
        </w:rPr>
      </w:r>
    </w:p>
    <w:sectPr w:rsidR="00FC693F" w:rsidRPr="0006063C" w:rsidSect="00034616">
      <w:footerReference w:type="default" r:id="rId9"/>
      <w:pgSz w:w="11906" w:h="16838"/>
      <w:pgMar w:top="1417" w:right="1417" w:bottom="1417" w:left="1417" w:header="720" w:footer="720" w:gutter="0"/>
      <w:cols w:space="720"/>
      <w:docGrid w:linePitch="36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ind w:firstLineChars="0" w:firstLine="0"/>
    </w:pPr>
    <w:r>
      <w:rPr>
        <w:rFonts w:ascii="Arial" w:hAnsi="Arial" w:eastAsia="宋体"/>
        <w:b w:val="0"/>
        <w:i w:val="0"/>
        <w:color w:val="000000"/>
        <w:sz w:val="18"/>
      </w:rPr>
      <w:fldChar w:fldCharType="begin"/>
    </w:r>
    <w:r>
      <w:rPr>
        <w:rFonts w:ascii="Arial" w:hAnsi="Arial" w:eastAsia="宋体"/>
        <w:b w:val="0"/>
        <w:i w:val="0"/>
        <w:color w:val="000000"/>
        <w:sz w:val="18"/>
      </w:rPr>
      <w:instrText xml:space="preserve"> PAGE </w:instrText>
    </w:r>
    <w:r>
      <w:rPr>
        <w:rFonts w:ascii="Arial" w:hAnsi="Arial" w:eastAsia="宋体"/>
        <w:b w:val="0"/>
        <w:i w:val="0"/>
        <w:color w:val="000000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 w:multiLevelType="hybridMultilevel">
    <w:multiLevelType w:val="hybridMultilevel"/>
    <w:lvl w:ilvl="0">
      <w:start w:val="1"/>
      <w:numFmt w:val="decimal"/>
      <w:lvlText w:val="%1."/>
      <w:lvlJc w:val="left"/>
      <w:pPr>
        <w:ind w:left="430" w:hanging="430"/>
      </w:pPr>
    </w:lvl>
    <w:lvl w:ilvl="1">
      <w:start w:val="1"/>
      <w:numFmt w:val="decimal"/>
      <w:lvlText w:val="%2."/>
      <w:lvlJc w:val="left"/>
      <w:pPr>
        <w:ind w:left="860" w:hanging="430"/>
      </w:pPr>
    </w:lvl>
    <w:lvl w:ilvl="2">
      <w:start w:val="1"/>
      <w:numFmt w:val="decimal"/>
      <w:lvlText w:val="%3."/>
      <w:lvlJc w:val="left"/>
      <w:pPr>
        <w:ind w:left="1290" w:hanging="430"/>
      </w:pPr>
    </w:lvl>
    <w:lvl w:ilvl="3">
      <w:start w:val="1"/>
      <w:numFmt w:val="decimal"/>
      <w:lvlText w:val="%4."/>
      <w:lvlJc w:val="left"/>
      <w:pPr>
        <w:ind w:left="1720" w:hanging="430"/>
      </w:pPr>
    </w:lvl>
    <w:lvl w:ilvl="4">
      <w:start w:val="1"/>
      <w:numFmt w:val="decimal"/>
      <w:lvlText w:val="%5."/>
      <w:lvlJc w:val="left"/>
      <w:pPr>
        <w:ind w:left="2150" w:hanging="430"/>
      </w:pPr>
    </w:lvl>
    <w:lvl w:ilvl="5">
      <w:start w:val="1"/>
      <w:numFmt w:val="decimal"/>
      <w:lvlText w:val="%6."/>
      <w:lvlJc w:val="left"/>
      <w:pPr>
        <w:ind w:left="2580" w:hanging="430"/>
      </w:pPr>
    </w:lvl>
    <w:lvl w:ilvl="6">
      <w:start w:val="1"/>
      <w:numFmt w:val="decimal"/>
      <w:lvlText w:val="%7."/>
      <w:lvlJc w:val="left"/>
      <w:pPr>
        <w:ind w:left="3010" w:hanging="430"/>
      </w:pPr>
    </w:lvl>
    <w:lvl w:ilvl="7">
      <w:start w:val="1"/>
      <w:numFmt w:val="decimal"/>
      <w:lvlText w:val="%8."/>
      <w:lvlJc w:val="left"/>
      <w:pPr>
        <w:ind w:left="3440" w:hanging="430"/>
      </w:pPr>
    </w:lvl>
    <w:lvl w:ilvl="8">
      <w:start w:val="1"/>
      <w:numFmt w:val="decimal"/>
      <w:lvlText w:val="%9."/>
      <w:lvlJc w:val="left"/>
      <w:pPr>
        <w:ind w:left="3870" w:hanging="430"/>
      </w:pPr>
    </w:lvl>
  </w:abstractNum>
  <w:num w:numId="1">
    <w:abstractNumId w:val="9"/>
  </w:num>
  <w:num w:numId="2">
    <w:abstractNumId w:val="9"/>
  </w:num>
  <w:num w:numId="3">
    <w:abstractNumId w:val="9"/>
  </w:num>
  <w:num w:numId="4">
    <w:abstractNumId w:val="9"/>
  </w:num>
  <w:num w:numId="5">
    <w:abstractNumId w:val="9"/>
  </w:num>
  <w:num w:numId="6">
    <w:abstractNumId w:val="9"/>
  </w:num>
  <w:num w:numId="7">
    <w:abstractNumId w:val="9"/>
  </w:num>
  <w:num w:numId="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before="0" w:after="0"/>
      <w:ind w:firstLine="480"/>
    </w:pPr>
    <w:rPr>
      <w:rFonts w:ascii="Arial" w:hAnsi="Arial" w:eastAsia="宋体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黑体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黑体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eastAsia="黑体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Smart Site V7 操作手册（详细版 v3.0）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